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CAB6" w14:textId="77777777" w:rsidR="00E83016" w:rsidRPr="00DD599E" w:rsidRDefault="00E83016" w:rsidP="00F05DB0">
      <w:pPr>
        <w:spacing w:line="240" w:lineRule="auto"/>
        <w:rPr>
          <w:rFonts w:ascii="Arial" w:hAnsi="Arial" w:cs="Arial"/>
          <w:b/>
          <w:bCs/>
          <w:sz w:val="26"/>
          <w:szCs w:val="26"/>
        </w:rPr>
      </w:pPr>
      <w:bookmarkStart w:id="0" w:name="_GoBack"/>
      <w:bookmarkEnd w:id="0"/>
      <w:r w:rsidRPr="00DD599E">
        <w:rPr>
          <w:rFonts w:ascii="Arial" w:hAnsi="Arial" w:cs="Arial"/>
          <w:b/>
          <w:bCs/>
          <w:sz w:val="26"/>
          <w:szCs w:val="26"/>
        </w:rPr>
        <w:t>Health Insurance Reform Commission (HIRC)</w:t>
      </w:r>
      <w:r w:rsidR="00F05DB0" w:rsidRPr="00DD599E">
        <w:rPr>
          <w:rFonts w:ascii="Arial" w:hAnsi="Arial" w:cs="Arial"/>
          <w:b/>
          <w:bCs/>
          <w:sz w:val="26"/>
          <w:szCs w:val="26"/>
        </w:rPr>
        <w:t xml:space="preserve"> - </w:t>
      </w:r>
      <w:r w:rsidRPr="00DD599E">
        <w:rPr>
          <w:rFonts w:ascii="Arial" w:hAnsi="Arial" w:cs="Arial"/>
          <w:b/>
          <w:bCs/>
          <w:sz w:val="26"/>
          <w:szCs w:val="26"/>
        </w:rPr>
        <w:t>June 30, 2021 Meeting</w:t>
      </w:r>
    </w:p>
    <w:p w14:paraId="1BA596DD" w14:textId="77777777" w:rsidR="00E83016" w:rsidRPr="00DD599E" w:rsidRDefault="00E83016" w:rsidP="00F05DB0">
      <w:pPr>
        <w:spacing w:line="240" w:lineRule="auto"/>
        <w:rPr>
          <w:rFonts w:ascii="Arial" w:hAnsi="Arial" w:cs="Arial"/>
          <w:b/>
          <w:bCs/>
          <w:sz w:val="26"/>
          <w:szCs w:val="26"/>
        </w:rPr>
      </w:pPr>
      <w:r w:rsidRPr="00DD599E">
        <w:rPr>
          <w:rFonts w:ascii="Arial" w:hAnsi="Arial" w:cs="Arial"/>
          <w:b/>
          <w:bCs/>
          <w:sz w:val="26"/>
          <w:szCs w:val="26"/>
        </w:rPr>
        <w:t xml:space="preserve">Bureau of Insurance Step-One Analysis </w:t>
      </w:r>
    </w:p>
    <w:p w14:paraId="3A996198" w14:textId="77777777" w:rsidR="00E83016" w:rsidRPr="00DD599E" w:rsidRDefault="00E83016" w:rsidP="00F05DB0">
      <w:pPr>
        <w:spacing w:line="240" w:lineRule="auto"/>
        <w:rPr>
          <w:rFonts w:ascii="Arial" w:hAnsi="Arial" w:cs="Arial"/>
          <w:b/>
          <w:bCs/>
          <w:sz w:val="26"/>
          <w:szCs w:val="26"/>
        </w:rPr>
      </w:pPr>
      <w:r w:rsidRPr="00DD599E">
        <w:rPr>
          <w:rFonts w:ascii="Arial" w:hAnsi="Arial" w:cs="Arial"/>
          <w:b/>
          <w:bCs/>
          <w:sz w:val="26"/>
          <w:szCs w:val="26"/>
        </w:rPr>
        <w:t>Legislative Bills – 2020 Session of the General Assembly</w:t>
      </w:r>
    </w:p>
    <w:tbl>
      <w:tblPr>
        <w:tblStyle w:val="TableGrid"/>
        <w:tblW w:w="10435" w:type="dxa"/>
        <w:tblLook w:val="04A0" w:firstRow="1" w:lastRow="0" w:firstColumn="1" w:lastColumn="0" w:noHBand="0" w:noVBand="1"/>
      </w:tblPr>
      <w:tblGrid>
        <w:gridCol w:w="1480"/>
        <w:gridCol w:w="1394"/>
        <w:gridCol w:w="1801"/>
        <w:gridCol w:w="1548"/>
        <w:gridCol w:w="1332"/>
        <w:gridCol w:w="2880"/>
      </w:tblGrid>
      <w:tr w:rsidR="00144AAA" w:rsidRPr="00144AAA" w14:paraId="36024E0F" w14:textId="77777777" w:rsidTr="009B59B9">
        <w:trPr>
          <w:trHeight w:val="1020"/>
        </w:trPr>
        <w:tc>
          <w:tcPr>
            <w:tcW w:w="1480" w:type="dxa"/>
            <w:tcBorders>
              <w:bottom w:val="single" w:sz="4" w:space="0" w:color="auto"/>
            </w:tcBorders>
            <w:hideMark/>
          </w:tcPr>
          <w:p w14:paraId="2941DEBC" w14:textId="77777777" w:rsidR="00144AAA" w:rsidRDefault="00144AAA" w:rsidP="00144AAA">
            <w:pPr>
              <w:jc w:val="center"/>
              <w:rPr>
                <w:rFonts w:ascii="Arial" w:hAnsi="Arial" w:cs="Arial"/>
                <w:b/>
                <w:bCs/>
              </w:rPr>
            </w:pPr>
          </w:p>
          <w:p w14:paraId="5F0A95F5" w14:textId="77777777" w:rsidR="00144AAA" w:rsidRPr="00144AAA" w:rsidRDefault="00144AAA" w:rsidP="00144AAA">
            <w:pPr>
              <w:jc w:val="center"/>
              <w:rPr>
                <w:rFonts w:ascii="Arial" w:hAnsi="Arial" w:cs="Arial"/>
                <w:b/>
                <w:bCs/>
              </w:rPr>
            </w:pPr>
            <w:r w:rsidRPr="00144AAA">
              <w:rPr>
                <w:rFonts w:ascii="Arial" w:hAnsi="Arial" w:cs="Arial"/>
                <w:b/>
                <w:bCs/>
              </w:rPr>
              <w:t>Bill Number</w:t>
            </w:r>
          </w:p>
        </w:tc>
        <w:tc>
          <w:tcPr>
            <w:tcW w:w="1394" w:type="dxa"/>
            <w:tcBorders>
              <w:bottom w:val="single" w:sz="4" w:space="0" w:color="auto"/>
            </w:tcBorders>
            <w:hideMark/>
          </w:tcPr>
          <w:p w14:paraId="3427B2AB" w14:textId="77777777" w:rsidR="00144AAA" w:rsidRDefault="00144AAA" w:rsidP="00144AAA">
            <w:pPr>
              <w:jc w:val="center"/>
              <w:rPr>
                <w:rFonts w:ascii="Arial" w:hAnsi="Arial" w:cs="Arial"/>
                <w:b/>
                <w:bCs/>
              </w:rPr>
            </w:pPr>
          </w:p>
          <w:p w14:paraId="71FE1BB7" w14:textId="63C93657" w:rsidR="00144AAA" w:rsidRPr="00144AAA" w:rsidRDefault="00113D1F" w:rsidP="00144AAA">
            <w:pPr>
              <w:jc w:val="center"/>
              <w:rPr>
                <w:rFonts w:ascii="Arial" w:hAnsi="Arial" w:cs="Arial"/>
                <w:b/>
                <w:bCs/>
              </w:rPr>
            </w:pPr>
            <w:r>
              <w:rPr>
                <w:rFonts w:ascii="Arial" w:hAnsi="Arial" w:cs="Arial"/>
                <w:b/>
                <w:bCs/>
              </w:rPr>
              <w:t>Title</w:t>
            </w:r>
          </w:p>
        </w:tc>
        <w:tc>
          <w:tcPr>
            <w:tcW w:w="1801" w:type="dxa"/>
            <w:tcBorders>
              <w:bottom w:val="single" w:sz="4" w:space="0" w:color="auto"/>
            </w:tcBorders>
            <w:hideMark/>
          </w:tcPr>
          <w:p w14:paraId="3C7A3444" w14:textId="77777777" w:rsidR="00144AAA" w:rsidRDefault="00144AAA" w:rsidP="00144AAA">
            <w:pPr>
              <w:jc w:val="center"/>
              <w:rPr>
                <w:rFonts w:ascii="Arial" w:hAnsi="Arial" w:cs="Arial"/>
                <w:b/>
                <w:bCs/>
              </w:rPr>
            </w:pPr>
          </w:p>
          <w:p w14:paraId="3733E70D" w14:textId="77777777" w:rsidR="00144AAA" w:rsidRPr="00144AAA" w:rsidRDefault="00144AAA" w:rsidP="00144AAA">
            <w:pPr>
              <w:jc w:val="center"/>
              <w:rPr>
                <w:rFonts w:ascii="Arial" w:hAnsi="Arial" w:cs="Arial"/>
                <w:b/>
                <w:bCs/>
              </w:rPr>
            </w:pPr>
            <w:r w:rsidRPr="00144AAA">
              <w:rPr>
                <w:rFonts w:ascii="Arial" w:hAnsi="Arial" w:cs="Arial"/>
                <w:b/>
                <w:bCs/>
              </w:rPr>
              <w:t>Summary</w:t>
            </w:r>
          </w:p>
        </w:tc>
        <w:tc>
          <w:tcPr>
            <w:tcW w:w="1548" w:type="dxa"/>
            <w:tcBorders>
              <w:bottom w:val="single" w:sz="4" w:space="0" w:color="auto"/>
            </w:tcBorders>
            <w:hideMark/>
          </w:tcPr>
          <w:p w14:paraId="5D33A919" w14:textId="77777777" w:rsidR="00144AAA" w:rsidRDefault="00144AAA" w:rsidP="00144AAA">
            <w:pPr>
              <w:jc w:val="center"/>
              <w:rPr>
                <w:rFonts w:ascii="Arial" w:hAnsi="Arial" w:cs="Arial"/>
                <w:b/>
                <w:bCs/>
              </w:rPr>
            </w:pPr>
          </w:p>
          <w:p w14:paraId="21EB19F2" w14:textId="3936A3FD" w:rsidR="00144AAA" w:rsidRPr="00144AAA" w:rsidRDefault="00144AAA" w:rsidP="00144AAA">
            <w:pPr>
              <w:jc w:val="center"/>
              <w:rPr>
                <w:rFonts w:ascii="Arial" w:hAnsi="Arial" w:cs="Arial"/>
                <w:b/>
                <w:bCs/>
              </w:rPr>
            </w:pPr>
            <w:r w:rsidRPr="00144AAA">
              <w:rPr>
                <w:rFonts w:ascii="Arial" w:hAnsi="Arial" w:cs="Arial"/>
                <w:b/>
                <w:bCs/>
              </w:rPr>
              <w:t xml:space="preserve">Mandated </w:t>
            </w:r>
            <w:r w:rsidR="00113D1F">
              <w:rPr>
                <w:rFonts w:ascii="Arial" w:hAnsi="Arial" w:cs="Arial"/>
                <w:b/>
                <w:bCs/>
              </w:rPr>
              <w:t>Benefit or Provider</w:t>
            </w:r>
          </w:p>
        </w:tc>
        <w:tc>
          <w:tcPr>
            <w:tcW w:w="1332" w:type="dxa"/>
            <w:tcBorders>
              <w:bottom w:val="single" w:sz="4" w:space="0" w:color="auto"/>
            </w:tcBorders>
            <w:hideMark/>
          </w:tcPr>
          <w:p w14:paraId="534F280A" w14:textId="77777777" w:rsidR="00144AAA" w:rsidRDefault="00144AAA" w:rsidP="00144AAA">
            <w:pPr>
              <w:jc w:val="center"/>
              <w:rPr>
                <w:rFonts w:ascii="Arial" w:hAnsi="Arial" w:cs="Arial"/>
                <w:b/>
                <w:bCs/>
              </w:rPr>
            </w:pPr>
          </w:p>
          <w:p w14:paraId="4125BD0B" w14:textId="3D168823" w:rsidR="00DD599E" w:rsidRPr="00144AAA" w:rsidRDefault="00144AAA" w:rsidP="0043363E">
            <w:pPr>
              <w:jc w:val="center"/>
              <w:rPr>
                <w:rFonts w:ascii="Arial" w:hAnsi="Arial" w:cs="Arial"/>
                <w:b/>
                <w:bCs/>
              </w:rPr>
            </w:pPr>
            <w:r w:rsidRPr="00144AAA">
              <w:rPr>
                <w:rFonts w:ascii="Arial" w:hAnsi="Arial" w:cs="Arial"/>
                <w:b/>
                <w:bCs/>
              </w:rPr>
              <w:t>P</w:t>
            </w:r>
            <w:r w:rsidR="00113D1F">
              <w:rPr>
                <w:rFonts w:ascii="Arial" w:hAnsi="Arial" w:cs="Arial"/>
                <w:b/>
                <w:bCs/>
              </w:rPr>
              <w:t>ossible</w:t>
            </w:r>
            <w:r w:rsidRPr="00144AAA">
              <w:rPr>
                <w:rFonts w:ascii="Arial" w:hAnsi="Arial" w:cs="Arial"/>
                <w:b/>
                <w:bCs/>
              </w:rPr>
              <w:t xml:space="preserve"> Cost Defrayal</w:t>
            </w:r>
          </w:p>
        </w:tc>
        <w:tc>
          <w:tcPr>
            <w:tcW w:w="2880" w:type="dxa"/>
            <w:tcBorders>
              <w:bottom w:val="single" w:sz="4" w:space="0" w:color="auto"/>
            </w:tcBorders>
            <w:hideMark/>
          </w:tcPr>
          <w:p w14:paraId="5FD2345F" w14:textId="77777777" w:rsidR="00144AAA" w:rsidRDefault="00144AAA" w:rsidP="00144AAA">
            <w:pPr>
              <w:jc w:val="center"/>
              <w:rPr>
                <w:rFonts w:ascii="Arial" w:hAnsi="Arial" w:cs="Arial"/>
                <w:b/>
                <w:bCs/>
              </w:rPr>
            </w:pPr>
          </w:p>
          <w:p w14:paraId="1E301780" w14:textId="4ACCBE43" w:rsidR="00144AAA" w:rsidRPr="00144AAA" w:rsidRDefault="00D872BE" w:rsidP="00144AAA">
            <w:pPr>
              <w:jc w:val="center"/>
              <w:rPr>
                <w:rFonts w:ascii="Arial" w:hAnsi="Arial" w:cs="Arial"/>
                <w:b/>
                <w:bCs/>
              </w:rPr>
            </w:pPr>
            <w:r>
              <w:rPr>
                <w:rFonts w:ascii="Arial" w:hAnsi="Arial" w:cs="Arial"/>
                <w:b/>
                <w:bCs/>
              </w:rPr>
              <w:t>Comments</w:t>
            </w:r>
          </w:p>
        </w:tc>
      </w:tr>
      <w:tr w:rsidR="00144AAA" w:rsidRPr="00144AAA" w14:paraId="59E65661" w14:textId="77777777" w:rsidTr="009B59B9">
        <w:trPr>
          <w:trHeight w:val="132"/>
        </w:trPr>
        <w:tc>
          <w:tcPr>
            <w:tcW w:w="1480" w:type="dxa"/>
            <w:tcBorders>
              <w:top w:val="single" w:sz="4" w:space="0" w:color="auto"/>
              <w:left w:val="single" w:sz="4" w:space="0" w:color="auto"/>
              <w:bottom w:val="nil"/>
              <w:right w:val="single" w:sz="4" w:space="0" w:color="auto"/>
            </w:tcBorders>
            <w:hideMark/>
          </w:tcPr>
          <w:p w14:paraId="11797702" w14:textId="77777777" w:rsidR="00144AAA" w:rsidRPr="00144AAA" w:rsidRDefault="00144AAA" w:rsidP="00144AAA">
            <w:pPr>
              <w:rPr>
                <w:rFonts w:ascii="Arial" w:hAnsi="Arial" w:cs="Arial"/>
                <w:b/>
                <w:bCs/>
                <w:sz w:val="20"/>
                <w:szCs w:val="20"/>
              </w:rPr>
            </w:pPr>
            <w:r w:rsidRPr="00144AAA">
              <w:rPr>
                <w:rFonts w:ascii="Arial" w:hAnsi="Arial" w:cs="Arial"/>
                <w:b/>
                <w:bCs/>
                <w:sz w:val="20"/>
                <w:szCs w:val="20"/>
              </w:rPr>
              <w:t> </w:t>
            </w:r>
          </w:p>
        </w:tc>
        <w:tc>
          <w:tcPr>
            <w:tcW w:w="1394" w:type="dxa"/>
            <w:tcBorders>
              <w:top w:val="single" w:sz="4" w:space="0" w:color="auto"/>
              <w:left w:val="single" w:sz="4" w:space="0" w:color="auto"/>
              <w:bottom w:val="nil"/>
              <w:right w:val="single" w:sz="4" w:space="0" w:color="auto"/>
            </w:tcBorders>
            <w:hideMark/>
          </w:tcPr>
          <w:p w14:paraId="7BD74E3B" w14:textId="77777777" w:rsidR="00144AAA" w:rsidRPr="00144AAA" w:rsidRDefault="00144AAA" w:rsidP="00144AAA">
            <w:pPr>
              <w:rPr>
                <w:rFonts w:ascii="Arial" w:hAnsi="Arial" w:cs="Arial"/>
                <w:b/>
                <w:bCs/>
                <w:sz w:val="20"/>
                <w:szCs w:val="20"/>
              </w:rPr>
            </w:pPr>
            <w:r w:rsidRPr="00144AAA">
              <w:rPr>
                <w:rFonts w:ascii="Arial" w:hAnsi="Arial" w:cs="Arial"/>
                <w:b/>
                <w:bCs/>
                <w:sz w:val="20"/>
                <w:szCs w:val="20"/>
              </w:rPr>
              <w:t> </w:t>
            </w:r>
          </w:p>
        </w:tc>
        <w:tc>
          <w:tcPr>
            <w:tcW w:w="1801" w:type="dxa"/>
            <w:tcBorders>
              <w:top w:val="single" w:sz="4" w:space="0" w:color="auto"/>
              <w:left w:val="single" w:sz="4" w:space="0" w:color="auto"/>
              <w:bottom w:val="nil"/>
              <w:right w:val="single" w:sz="4" w:space="0" w:color="auto"/>
            </w:tcBorders>
            <w:hideMark/>
          </w:tcPr>
          <w:p w14:paraId="0DE12AB8" w14:textId="77777777" w:rsidR="00144AAA" w:rsidRPr="00144AAA" w:rsidRDefault="00144AAA" w:rsidP="00144AAA">
            <w:pPr>
              <w:rPr>
                <w:rFonts w:ascii="Arial" w:hAnsi="Arial" w:cs="Arial"/>
                <w:b/>
                <w:bCs/>
                <w:sz w:val="20"/>
                <w:szCs w:val="20"/>
              </w:rPr>
            </w:pPr>
            <w:r w:rsidRPr="00144AAA">
              <w:rPr>
                <w:rFonts w:ascii="Arial" w:hAnsi="Arial" w:cs="Arial"/>
                <w:b/>
                <w:bCs/>
                <w:sz w:val="20"/>
                <w:szCs w:val="20"/>
              </w:rPr>
              <w:t> </w:t>
            </w:r>
          </w:p>
        </w:tc>
        <w:tc>
          <w:tcPr>
            <w:tcW w:w="1548" w:type="dxa"/>
            <w:tcBorders>
              <w:top w:val="single" w:sz="4" w:space="0" w:color="auto"/>
              <w:left w:val="single" w:sz="4" w:space="0" w:color="auto"/>
              <w:bottom w:val="nil"/>
              <w:right w:val="single" w:sz="4" w:space="0" w:color="auto"/>
            </w:tcBorders>
            <w:hideMark/>
          </w:tcPr>
          <w:p w14:paraId="12307CEF" w14:textId="77777777" w:rsidR="00144AAA" w:rsidRPr="00144AAA" w:rsidRDefault="00144AAA" w:rsidP="00144AAA">
            <w:pPr>
              <w:rPr>
                <w:rFonts w:ascii="Arial" w:hAnsi="Arial" w:cs="Arial"/>
                <w:b/>
                <w:bCs/>
                <w:sz w:val="20"/>
                <w:szCs w:val="20"/>
              </w:rPr>
            </w:pPr>
            <w:r w:rsidRPr="00144AAA">
              <w:rPr>
                <w:rFonts w:ascii="Arial" w:hAnsi="Arial" w:cs="Arial"/>
                <w:b/>
                <w:bCs/>
                <w:sz w:val="20"/>
                <w:szCs w:val="20"/>
              </w:rPr>
              <w:t> </w:t>
            </w:r>
          </w:p>
        </w:tc>
        <w:tc>
          <w:tcPr>
            <w:tcW w:w="1332" w:type="dxa"/>
            <w:tcBorders>
              <w:top w:val="single" w:sz="4" w:space="0" w:color="auto"/>
              <w:left w:val="single" w:sz="4" w:space="0" w:color="auto"/>
              <w:bottom w:val="nil"/>
              <w:right w:val="single" w:sz="4" w:space="0" w:color="auto"/>
            </w:tcBorders>
            <w:hideMark/>
          </w:tcPr>
          <w:p w14:paraId="6935971E" w14:textId="77777777" w:rsidR="00144AAA" w:rsidRPr="00144AAA" w:rsidRDefault="00144AAA" w:rsidP="00144AAA">
            <w:pPr>
              <w:rPr>
                <w:rFonts w:ascii="Arial" w:hAnsi="Arial" w:cs="Arial"/>
                <w:b/>
                <w:bCs/>
                <w:sz w:val="20"/>
                <w:szCs w:val="20"/>
              </w:rPr>
            </w:pPr>
            <w:r w:rsidRPr="00144AAA">
              <w:rPr>
                <w:rFonts w:ascii="Arial" w:hAnsi="Arial" w:cs="Arial"/>
                <w:b/>
                <w:bCs/>
                <w:sz w:val="20"/>
                <w:szCs w:val="20"/>
              </w:rPr>
              <w:t> </w:t>
            </w:r>
          </w:p>
        </w:tc>
        <w:tc>
          <w:tcPr>
            <w:tcW w:w="2880" w:type="dxa"/>
            <w:tcBorders>
              <w:top w:val="single" w:sz="4" w:space="0" w:color="auto"/>
              <w:left w:val="single" w:sz="4" w:space="0" w:color="auto"/>
              <w:bottom w:val="nil"/>
              <w:right w:val="single" w:sz="4" w:space="0" w:color="auto"/>
            </w:tcBorders>
            <w:hideMark/>
          </w:tcPr>
          <w:p w14:paraId="47F33FE0" w14:textId="77777777" w:rsidR="00144AAA" w:rsidRPr="00144AAA" w:rsidRDefault="00144AAA" w:rsidP="00144AAA">
            <w:pPr>
              <w:rPr>
                <w:rFonts w:ascii="Arial" w:hAnsi="Arial" w:cs="Arial"/>
                <w:b/>
                <w:bCs/>
                <w:sz w:val="20"/>
                <w:szCs w:val="20"/>
              </w:rPr>
            </w:pPr>
            <w:r w:rsidRPr="00144AAA">
              <w:rPr>
                <w:rFonts w:ascii="Arial" w:hAnsi="Arial" w:cs="Arial"/>
                <w:b/>
                <w:bCs/>
                <w:sz w:val="20"/>
                <w:szCs w:val="20"/>
              </w:rPr>
              <w:t> </w:t>
            </w:r>
          </w:p>
        </w:tc>
      </w:tr>
      <w:tr w:rsidR="00F41DA0" w:rsidRPr="00144AAA" w14:paraId="1AF25B46" w14:textId="77777777" w:rsidTr="009B59B9">
        <w:trPr>
          <w:trHeight w:val="2754"/>
        </w:trPr>
        <w:tc>
          <w:tcPr>
            <w:tcW w:w="1480" w:type="dxa"/>
            <w:tcBorders>
              <w:top w:val="nil"/>
            </w:tcBorders>
            <w:noWrap/>
            <w:hideMark/>
          </w:tcPr>
          <w:p w14:paraId="748CB78E" w14:textId="4EB18C1B" w:rsidR="00144AAA" w:rsidRPr="00144AAA" w:rsidRDefault="00B74FF9" w:rsidP="00144AAA">
            <w:pPr>
              <w:rPr>
                <w:rFonts w:ascii="Arial" w:hAnsi="Arial" w:cs="Arial"/>
                <w:b/>
                <w:bCs/>
                <w:sz w:val="20"/>
                <w:szCs w:val="20"/>
              </w:rPr>
            </w:pPr>
            <w:r>
              <w:rPr>
                <w:rFonts w:ascii="Arial" w:hAnsi="Arial" w:cs="Arial"/>
                <w:b/>
                <w:bCs/>
                <w:sz w:val="20"/>
                <w:szCs w:val="20"/>
              </w:rPr>
              <w:t xml:space="preserve"> </w:t>
            </w:r>
            <w:r w:rsidR="00144AAA" w:rsidRPr="00144AAA">
              <w:rPr>
                <w:rFonts w:ascii="Arial" w:hAnsi="Arial" w:cs="Arial"/>
                <w:b/>
                <w:bCs/>
                <w:sz w:val="20"/>
                <w:szCs w:val="20"/>
              </w:rPr>
              <w:t>HB 39</w:t>
            </w:r>
          </w:p>
        </w:tc>
        <w:tc>
          <w:tcPr>
            <w:tcW w:w="1394" w:type="dxa"/>
            <w:tcBorders>
              <w:top w:val="nil"/>
            </w:tcBorders>
            <w:hideMark/>
          </w:tcPr>
          <w:p w14:paraId="556AA724" w14:textId="77777777" w:rsidR="00144AAA" w:rsidRPr="00144AAA" w:rsidRDefault="00144AAA" w:rsidP="00144AAA">
            <w:pPr>
              <w:rPr>
                <w:rFonts w:ascii="Arial" w:hAnsi="Arial" w:cs="Arial"/>
                <w:sz w:val="20"/>
                <w:szCs w:val="20"/>
              </w:rPr>
            </w:pPr>
            <w:r w:rsidRPr="00144AAA">
              <w:rPr>
                <w:rFonts w:ascii="Arial" w:hAnsi="Arial" w:cs="Arial"/>
                <w:sz w:val="20"/>
                <w:szCs w:val="20"/>
              </w:rPr>
              <w:t>Special enrollment, pregnancy</w:t>
            </w:r>
          </w:p>
        </w:tc>
        <w:tc>
          <w:tcPr>
            <w:tcW w:w="1801" w:type="dxa"/>
            <w:tcBorders>
              <w:top w:val="nil"/>
            </w:tcBorders>
            <w:hideMark/>
          </w:tcPr>
          <w:p w14:paraId="779AE0EC" w14:textId="77777777" w:rsidR="00144AAA" w:rsidRPr="00144AAA" w:rsidRDefault="00144AAA" w:rsidP="00144AAA">
            <w:pPr>
              <w:rPr>
                <w:rFonts w:ascii="Arial" w:hAnsi="Arial" w:cs="Arial"/>
                <w:sz w:val="20"/>
                <w:szCs w:val="20"/>
              </w:rPr>
            </w:pPr>
            <w:r w:rsidRPr="00144AAA">
              <w:rPr>
                <w:rFonts w:ascii="Arial" w:hAnsi="Arial" w:cs="Arial"/>
                <w:sz w:val="20"/>
                <w:szCs w:val="20"/>
              </w:rPr>
              <w:t>Carriers required to provide guaranteed coverage enrollment for a pregnant woman outside of the open-enrollment period</w:t>
            </w:r>
          </w:p>
        </w:tc>
        <w:tc>
          <w:tcPr>
            <w:tcW w:w="1548" w:type="dxa"/>
            <w:tcBorders>
              <w:top w:val="nil"/>
            </w:tcBorders>
            <w:hideMark/>
          </w:tcPr>
          <w:p w14:paraId="0BB3BD91" w14:textId="77777777" w:rsidR="00144AAA" w:rsidRPr="00144AAA" w:rsidRDefault="00144AAA" w:rsidP="00144AAA">
            <w:pPr>
              <w:jc w:val="center"/>
              <w:rPr>
                <w:rFonts w:ascii="Arial" w:hAnsi="Arial" w:cs="Arial"/>
                <w:sz w:val="20"/>
                <w:szCs w:val="20"/>
              </w:rPr>
            </w:pPr>
            <w:r w:rsidRPr="00144AAA">
              <w:rPr>
                <w:rFonts w:ascii="Arial" w:hAnsi="Arial" w:cs="Arial"/>
                <w:sz w:val="20"/>
                <w:szCs w:val="20"/>
              </w:rPr>
              <w:t>No</w:t>
            </w:r>
          </w:p>
        </w:tc>
        <w:tc>
          <w:tcPr>
            <w:tcW w:w="1332" w:type="dxa"/>
            <w:tcBorders>
              <w:top w:val="nil"/>
            </w:tcBorders>
            <w:hideMark/>
          </w:tcPr>
          <w:p w14:paraId="097C12A9" w14:textId="77777777" w:rsidR="00144AAA" w:rsidRPr="00144AAA" w:rsidRDefault="00144AAA" w:rsidP="00144AAA">
            <w:pPr>
              <w:jc w:val="center"/>
              <w:rPr>
                <w:rFonts w:ascii="Arial" w:hAnsi="Arial" w:cs="Arial"/>
                <w:sz w:val="20"/>
                <w:szCs w:val="20"/>
              </w:rPr>
            </w:pPr>
            <w:r w:rsidRPr="00144AAA">
              <w:rPr>
                <w:rFonts w:ascii="Arial" w:hAnsi="Arial" w:cs="Arial"/>
                <w:sz w:val="20"/>
                <w:szCs w:val="20"/>
              </w:rPr>
              <w:t>No</w:t>
            </w:r>
          </w:p>
        </w:tc>
        <w:tc>
          <w:tcPr>
            <w:tcW w:w="2880" w:type="dxa"/>
            <w:tcBorders>
              <w:top w:val="nil"/>
            </w:tcBorders>
            <w:hideMark/>
          </w:tcPr>
          <w:p w14:paraId="15F2B40F" w14:textId="59F1D1E2" w:rsidR="003F2429" w:rsidRPr="00144AAA" w:rsidRDefault="00144AAA" w:rsidP="0043363E">
            <w:pPr>
              <w:rPr>
                <w:rFonts w:ascii="Arial" w:hAnsi="Arial" w:cs="Arial"/>
                <w:sz w:val="20"/>
                <w:szCs w:val="20"/>
              </w:rPr>
            </w:pPr>
            <w:r w:rsidRPr="008D28EC">
              <w:rPr>
                <w:rFonts w:ascii="Arial" w:hAnsi="Arial" w:cs="Arial"/>
                <w:sz w:val="20"/>
                <w:szCs w:val="20"/>
              </w:rPr>
              <w:t>Federal regulation 45CFR 155.420 does not allow for special enrollment in qualified health plans (QHP</w:t>
            </w:r>
            <w:r w:rsidR="007E3346" w:rsidRPr="008D28EC">
              <w:rPr>
                <w:rFonts w:ascii="Arial" w:hAnsi="Arial" w:cs="Arial"/>
                <w:sz w:val="20"/>
                <w:szCs w:val="20"/>
              </w:rPr>
              <w:t>s</w:t>
            </w:r>
            <w:r w:rsidRPr="008D28EC">
              <w:rPr>
                <w:rFonts w:ascii="Arial" w:hAnsi="Arial" w:cs="Arial"/>
                <w:sz w:val="20"/>
                <w:szCs w:val="20"/>
              </w:rPr>
              <w:t>) because of pregnancy where a state is using the federal platform in its exchange.</w:t>
            </w:r>
            <w:r w:rsidR="00B24AFA" w:rsidRPr="008D28EC">
              <w:rPr>
                <w:rFonts w:ascii="Arial" w:hAnsi="Arial" w:cs="Arial"/>
                <w:sz w:val="20"/>
                <w:szCs w:val="20"/>
              </w:rPr>
              <w:t xml:space="preserve"> It is projected that Virginia will remain on the federal exchange platform until 2024</w:t>
            </w:r>
            <w:r w:rsidR="00B24AFA">
              <w:rPr>
                <w:rFonts w:ascii="Arial" w:hAnsi="Arial" w:cs="Arial"/>
                <w:sz w:val="20"/>
                <w:szCs w:val="20"/>
              </w:rPr>
              <w:t>.</w:t>
            </w:r>
          </w:p>
        </w:tc>
      </w:tr>
      <w:tr w:rsidR="00144AAA" w:rsidRPr="00144AAA" w14:paraId="5C70D57B" w14:textId="77777777" w:rsidTr="009B59B9">
        <w:trPr>
          <w:trHeight w:val="1700"/>
        </w:trPr>
        <w:tc>
          <w:tcPr>
            <w:tcW w:w="1480" w:type="dxa"/>
            <w:noWrap/>
            <w:hideMark/>
          </w:tcPr>
          <w:p w14:paraId="5EA44C44" w14:textId="77777777" w:rsidR="008327DC" w:rsidRDefault="008327DC" w:rsidP="00144AAA">
            <w:pPr>
              <w:rPr>
                <w:rFonts w:ascii="Arial" w:hAnsi="Arial" w:cs="Arial"/>
                <w:b/>
                <w:bCs/>
                <w:sz w:val="20"/>
                <w:szCs w:val="20"/>
              </w:rPr>
            </w:pPr>
          </w:p>
          <w:p w14:paraId="600EC39D" w14:textId="0C58C519" w:rsidR="00144AAA" w:rsidRPr="00144AAA" w:rsidRDefault="00B74FF9" w:rsidP="00144AAA">
            <w:pPr>
              <w:rPr>
                <w:rFonts w:ascii="Arial" w:hAnsi="Arial" w:cs="Arial"/>
                <w:b/>
                <w:bCs/>
                <w:sz w:val="20"/>
                <w:szCs w:val="20"/>
              </w:rPr>
            </w:pPr>
            <w:r>
              <w:rPr>
                <w:rFonts w:ascii="Arial" w:hAnsi="Arial" w:cs="Arial"/>
                <w:b/>
                <w:bCs/>
                <w:sz w:val="20"/>
                <w:szCs w:val="20"/>
              </w:rPr>
              <w:t xml:space="preserve"> </w:t>
            </w:r>
            <w:r w:rsidR="00144AAA" w:rsidRPr="00144AAA">
              <w:rPr>
                <w:rFonts w:ascii="Arial" w:hAnsi="Arial" w:cs="Arial"/>
                <w:b/>
                <w:bCs/>
                <w:sz w:val="20"/>
                <w:szCs w:val="20"/>
              </w:rPr>
              <w:t>HB 59</w:t>
            </w:r>
          </w:p>
        </w:tc>
        <w:tc>
          <w:tcPr>
            <w:tcW w:w="1394" w:type="dxa"/>
            <w:hideMark/>
          </w:tcPr>
          <w:p w14:paraId="317341FE" w14:textId="77777777" w:rsidR="008327DC" w:rsidRDefault="008327DC" w:rsidP="00144AAA">
            <w:pPr>
              <w:rPr>
                <w:rFonts w:ascii="Arial" w:hAnsi="Arial" w:cs="Arial"/>
                <w:sz w:val="20"/>
                <w:szCs w:val="20"/>
              </w:rPr>
            </w:pPr>
          </w:p>
          <w:p w14:paraId="2DB76C97" w14:textId="77777777" w:rsidR="00144AAA" w:rsidRPr="00144AAA" w:rsidRDefault="00144AAA" w:rsidP="00144AAA">
            <w:pPr>
              <w:rPr>
                <w:rFonts w:ascii="Arial" w:hAnsi="Arial" w:cs="Arial"/>
                <w:sz w:val="20"/>
                <w:szCs w:val="20"/>
              </w:rPr>
            </w:pPr>
            <w:r w:rsidRPr="00144AAA">
              <w:rPr>
                <w:rFonts w:ascii="Arial" w:hAnsi="Arial" w:cs="Arial"/>
                <w:sz w:val="20"/>
                <w:szCs w:val="20"/>
              </w:rPr>
              <w:t>Licensing athletic trainers</w:t>
            </w:r>
          </w:p>
        </w:tc>
        <w:tc>
          <w:tcPr>
            <w:tcW w:w="1801" w:type="dxa"/>
            <w:hideMark/>
          </w:tcPr>
          <w:p w14:paraId="70CDA2FC" w14:textId="77777777" w:rsidR="008327DC" w:rsidRDefault="008327DC" w:rsidP="00144AAA">
            <w:pPr>
              <w:rPr>
                <w:rFonts w:ascii="Arial" w:hAnsi="Arial" w:cs="Arial"/>
                <w:sz w:val="20"/>
                <w:szCs w:val="20"/>
              </w:rPr>
            </w:pPr>
          </w:p>
          <w:p w14:paraId="1BF29E5A" w14:textId="77777777" w:rsidR="00144AAA" w:rsidRPr="00144AAA" w:rsidRDefault="00144AAA" w:rsidP="00144AAA">
            <w:pPr>
              <w:rPr>
                <w:rFonts w:ascii="Arial" w:hAnsi="Arial" w:cs="Arial"/>
                <w:sz w:val="20"/>
                <w:szCs w:val="20"/>
              </w:rPr>
            </w:pPr>
            <w:r w:rsidRPr="00144AAA">
              <w:rPr>
                <w:rFonts w:ascii="Arial" w:hAnsi="Arial" w:cs="Arial"/>
                <w:sz w:val="20"/>
                <w:szCs w:val="20"/>
              </w:rPr>
              <w:t>Carriers required to reimburse services by athletic trainers</w:t>
            </w:r>
          </w:p>
        </w:tc>
        <w:tc>
          <w:tcPr>
            <w:tcW w:w="1548" w:type="dxa"/>
            <w:hideMark/>
          </w:tcPr>
          <w:p w14:paraId="45B19F76" w14:textId="77777777" w:rsidR="008327DC" w:rsidRDefault="008327DC" w:rsidP="00144AAA">
            <w:pPr>
              <w:jc w:val="center"/>
              <w:rPr>
                <w:rFonts w:ascii="Arial" w:hAnsi="Arial" w:cs="Arial"/>
                <w:sz w:val="20"/>
                <w:szCs w:val="20"/>
              </w:rPr>
            </w:pPr>
          </w:p>
          <w:p w14:paraId="4A3F579F" w14:textId="2BABE696" w:rsidR="00144AAA" w:rsidRPr="00144AAA" w:rsidRDefault="00113D1F" w:rsidP="00144AAA">
            <w:pPr>
              <w:jc w:val="center"/>
              <w:rPr>
                <w:rFonts w:ascii="Arial" w:hAnsi="Arial" w:cs="Arial"/>
                <w:sz w:val="20"/>
                <w:szCs w:val="20"/>
              </w:rPr>
            </w:pPr>
            <w:r>
              <w:rPr>
                <w:rFonts w:ascii="Arial" w:hAnsi="Arial" w:cs="Arial"/>
                <w:sz w:val="20"/>
                <w:szCs w:val="20"/>
              </w:rPr>
              <w:t xml:space="preserve">Yes – Provider </w:t>
            </w:r>
          </w:p>
        </w:tc>
        <w:tc>
          <w:tcPr>
            <w:tcW w:w="1332" w:type="dxa"/>
            <w:hideMark/>
          </w:tcPr>
          <w:p w14:paraId="7B113BDC" w14:textId="77777777" w:rsidR="008327DC" w:rsidRDefault="008327DC" w:rsidP="00144AAA">
            <w:pPr>
              <w:jc w:val="center"/>
              <w:rPr>
                <w:rFonts w:ascii="Arial" w:hAnsi="Arial" w:cs="Arial"/>
                <w:sz w:val="20"/>
                <w:szCs w:val="20"/>
              </w:rPr>
            </w:pPr>
          </w:p>
          <w:p w14:paraId="5F32639A" w14:textId="77777777" w:rsidR="00144AAA" w:rsidRPr="00144AAA" w:rsidRDefault="00144AAA" w:rsidP="00144AAA">
            <w:pPr>
              <w:jc w:val="center"/>
              <w:rPr>
                <w:rFonts w:ascii="Arial" w:hAnsi="Arial" w:cs="Arial"/>
                <w:sz w:val="20"/>
                <w:szCs w:val="20"/>
              </w:rPr>
            </w:pPr>
            <w:r w:rsidRPr="00144AAA">
              <w:rPr>
                <w:rFonts w:ascii="Arial" w:hAnsi="Arial" w:cs="Arial"/>
                <w:sz w:val="20"/>
                <w:szCs w:val="20"/>
              </w:rPr>
              <w:t>No</w:t>
            </w:r>
          </w:p>
        </w:tc>
        <w:tc>
          <w:tcPr>
            <w:tcW w:w="2880" w:type="dxa"/>
            <w:hideMark/>
          </w:tcPr>
          <w:p w14:paraId="2B23EE60" w14:textId="77777777" w:rsidR="008327DC" w:rsidRDefault="008327DC" w:rsidP="00144AAA">
            <w:pPr>
              <w:rPr>
                <w:rFonts w:ascii="Arial" w:hAnsi="Arial" w:cs="Arial"/>
                <w:sz w:val="20"/>
                <w:szCs w:val="20"/>
              </w:rPr>
            </w:pPr>
          </w:p>
          <w:p w14:paraId="10FD2D60" w14:textId="0A818AC4" w:rsidR="00113D1F" w:rsidRPr="000F5A5A" w:rsidRDefault="00144AAA" w:rsidP="00113D1F">
            <w:r w:rsidRPr="000F5A5A">
              <w:rPr>
                <w:rFonts w:ascii="Arial" w:hAnsi="Arial" w:cs="Arial"/>
                <w:sz w:val="20"/>
                <w:szCs w:val="20"/>
              </w:rPr>
              <w:t xml:space="preserve">No </w:t>
            </w:r>
            <w:r w:rsidR="00113D1F" w:rsidRPr="000F5A5A">
              <w:rPr>
                <w:rFonts w:ascii="Arial" w:hAnsi="Arial" w:cs="Arial"/>
                <w:sz w:val="20"/>
                <w:szCs w:val="20"/>
              </w:rPr>
              <w:t>determination of the applicability of an EHB is necessary since this is not a mandated benefit for coverage.</w:t>
            </w:r>
          </w:p>
          <w:p w14:paraId="771785B1" w14:textId="77777777" w:rsidR="003F2429" w:rsidRPr="00144AAA" w:rsidRDefault="003F2429" w:rsidP="00144AAA">
            <w:pPr>
              <w:rPr>
                <w:rFonts w:ascii="Arial" w:hAnsi="Arial" w:cs="Arial"/>
                <w:sz w:val="20"/>
                <w:szCs w:val="20"/>
              </w:rPr>
            </w:pPr>
          </w:p>
        </w:tc>
      </w:tr>
      <w:tr w:rsidR="00144AAA" w:rsidRPr="00144AAA" w14:paraId="78A95B25" w14:textId="77777777" w:rsidTr="009B59B9">
        <w:trPr>
          <w:trHeight w:val="1070"/>
        </w:trPr>
        <w:tc>
          <w:tcPr>
            <w:tcW w:w="1480" w:type="dxa"/>
            <w:noWrap/>
            <w:hideMark/>
          </w:tcPr>
          <w:p w14:paraId="6FBAA506" w14:textId="77777777" w:rsidR="008327DC" w:rsidRDefault="008327DC" w:rsidP="00144AAA">
            <w:pPr>
              <w:rPr>
                <w:rFonts w:ascii="Arial" w:hAnsi="Arial" w:cs="Arial"/>
                <w:b/>
                <w:bCs/>
                <w:sz w:val="20"/>
                <w:szCs w:val="20"/>
              </w:rPr>
            </w:pPr>
          </w:p>
          <w:p w14:paraId="6659D31C" w14:textId="448E0907" w:rsidR="00144AAA" w:rsidRPr="00144AAA" w:rsidRDefault="00B74FF9" w:rsidP="00144AAA">
            <w:pPr>
              <w:rPr>
                <w:rFonts w:ascii="Arial" w:hAnsi="Arial" w:cs="Arial"/>
                <w:b/>
                <w:bCs/>
                <w:sz w:val="20"/>
                <w:szCs w:val="20"/>
              </w:rPr>
            </w:pPr>
            <w:r>
              <w:rPr>
                <w:rFonts w:ascii="Arial" w:hAnsi="Arial" w:cs="Arial"/>
                <w:b/>
                <w:bCs/>
                <w:sz w:val="20"/>
                <w:szCs w:val="20"/>
              </w:rPr>
              <w:t xml:space="preserve"> </w:t>
            </w:r>
            <w:r w:rsidR="00144AAA" w:rsidRPr="00144AAA">
              <w:rPr>
                <w:rFonts w:ascii="Arial" w:hAnsi="Arial" w:cs="Arial"/>
                <w:b/>
                <w:bCs/>
                <w:sz w:val="20"/>
                <w:szCs w:val="20"/>
              </w:rPr>
              <w:t>HB 579</w:t>
            </w:r>
          </w:p>
        </w:tc>
        <w:tc>
          <w:tcPr>
            <w:tcW w:w="1394" w:type="dxa"/>
            <w:hideMark/>
          </w:tcPr>
          <w:p w14:paraId="1F04C3CC" w14:textId="77777777" w:rsidR="008327DC" w:rsidRDefault="008327DC" w:rsidP="00144AAA">
            <w:pPr>
              <w:rPr>
                <w:rFonts w:ascii="Arial" w:hAnsi="Arial" w:cs="Arial"/>
                <w:sz w:val="20"/>
                <w:szCs w:val="20"/>
              </w:rPr>
            </w:pPr>
          </w:p>
          <w:p w14:paraId="14D82ECC" w14:textId="77777777" w:rsidR="00144AAA" w:rsidRPr="00144AAA" w:rsidRDefault="00144AAA" w:rsidP="00144AAA">
            <w:pPr>
              <w:rPr>
                <w:rFonts w:ascii="Arial" w:hAnsi="Arial" w:cs="Arial"/>
                <w:sz w:val="20"/>
                <w:szCs w:val="20"/>
              </w:rPr>
            </w:pPr>
            <w:r w:rsidRPr="00144AAA">
              <w:rPr>
                <w:rFonts w:ascii="Arial" w:hAnsi="Arial" w:cs="Arial"/>
                <w:sz w:val="20"/>
                <w:szCs w:val="20"/>
              </w:rPr>
              <w:t>Mammogram coverage expanded</w:t>
            </w:r>
          </w:p>
        </w:tc>
        <w:tc>
          <w:tcPr>
            <w:tcW w:w="1801" w:type="dxa"/>
            <w:hideMark/>
          </w:tcPr>
          <w:p w14:paraId="4487F8BD" w14:textId="77777777" w:rsidR="008327DC" w:rsidRDefault="008327DC" w:rsidP="00144AAA">
            <w:pPr>
              <w:rPr>
                <w:rFonts w:ascii="Arial" w:hAnsi="Arial" w:cs="Arial"/>
                <w:sz w:val="20"/>
                <w:szCs w:val="20"/>
              </w:rPr>
            </w:pPr>
          </w:p>
          <w:p w14:paraId="2F5E4014" w14:textId="7B67C118" w:rsidR="00144AAA" w:rsidRDefault="00144AAA" w:rsidP="00144AAA">
            <w:pPr>
              <w:rPr>
                <w:rFonts w:ascii="Arial" w:hAnsi="Arial" w:cs="Arial"/>
                <w:sz w:val="20"/>
                <w:szCs w:val="20"/>
              </w:rPr>
            </w:pPr>
            <w:r w:rsidRPr="00144AAA">
              <w:rPr>
                <w:rFonts w:ascii="Arial" w:hAnsi="Arial" w:cs="Arial"/>
                <w:sz w:val="20"/>
                <w:szCs w:val="20"/>
              </w:rPr>
              <w:t xml:space="preserve">Expands requirements of existing coverage under §38.2-3418.1, for example two annual low dose screenings for age 50 with family history. Carriers generally </w:t>
            </w:r>
            <w:r w:rsidR="00B24AFA">
              <w:rPr>
                <w:rFonts w:ascii="Arial" w:hAnsi="Arial" w:cs="Arial"/>
                <w:sz w:val="20"/>
                <w:szCs w:val="20"/>
              </w:rPr>
              <w:t>cover</w:t>
            </w:r>
            <w:r w:rsidR="00B24AFA" w:rsidRPr="00144AAA">
              <w:rPr>
                <w:rFonts w:ascii="Arial" w:hAnsi="Arial" w:cs="Arial"/>
                <w:sz w:val="20"/>
                <w:szCs w:val="20"/>
              </w:rPr>
              <w:t xml:space="preserve"> </w:t>
            </w:r>
            <w:r w:rsidRPr="00144AAA">
              <w:rPr>
                <w:rFonts w:ascii="Arial" w:hAnsi="Arial" w:cs="Arial"/>
                <w:sz w:val="20"/>
                <w:szCs w:val="20"/>
              </w:rPr>
              <w:t>one annual screening.</w:t>
            </w:r>
          </w:p>
          <w:p w14:paraId="4DCD1BCD" w14:textId="77777777" w:rsidR="003F2429" w:rsidRPr="00144AAA" w:rsidRDefault="003F2429" w:rsidP="00144AAA">
            <w:pPr>
              <w:rPr>
                <w:rFonts w:ascii="Arial" w:hAnsi="Arial" w:cs="Arial"/>
                <w:sz w:val="20"/>
                <w:szCs w:val="20"/>
              </w:rPr>
            </w:pPr>
          </w:p>
        </w:tc>
        <w:tc>
          <w:tcPr>
            <w:tcW w:w="1548" w:type="dxa"/>
            <w:hideMark/>
          </w:tcPr>
          <w:p w14:paraId="50B06DD3" w14:textId="77777777" w:rsidR="008327DC" w:rsidRDefault="008327DC" w:rsidP="00144AAA">
            <w:pPr>
              <w:jc w:val="center"/>
              <w:rPr>
                <w:rFonts w:ascii="Arial" w:hAnsi="Arial" w:cs="Arial"/>
                <w:sz w:val="20"/>
                <w:szCs w:val="20"/>
              </w:rPr>
            </w:pPr>
          </w:p>
          <w:p w14:paraId="1B721624" w14:textId="1FFC946F" w:rsidR="00144AAA" w:rsidRPr="00144AAA" w:rsidRDefault="00144AAA" w:rsidP="00144AAA">
            <w:pPr>
              <w:jc w:val="center"/>
              <w:rPr>
                <w:rFonts w:ascii="Arial" w:hAnsi="Arial" w:cs="Arial"/>
                <w:sz w:val="20"/>
                <w:szCs w:val="20"/>
              </w:rPr>
            </w:pPr>
            <w:r w:rsidRPr="00144AAA">
              <w:rPr>
                <w:rFonts w:ascii="Arial" w:hAnsi="Arial" w:cs="Arial"/>
                <w:sz w:val="20"/>
                <w:szCs w:val="20"/>
              </w:rPr>
              <w:t>Yes</w:t>
            </w:r>
            <w:r w:rsidR="00113D1F">
              <w:rPr>
                <w:rFonts w:ascii="Arial" w:hAnsi="Arial" w:cs="Arial"/>
                <w:sz w:val="20"/>
                <w:szCs w:val="20"/>
              </w:rPr>
              <w:t xml:space="preserve"> </w:t>
            </w:r>
            <w:r w:rsidR="003C770A">
              <w:rPr>
                <w:rFonts w:ascii="Arial" w:hAnsi="Arial" w:cs="Arial"/>
                <w:sz w:val="20"/>
                <w:szCs w:val="20"/>
              </w:rPr>
              <w:t>–</w:t>
            </w:r>
            <w:r w:rsidR="00113D1F">
              <w:rPr>
                <w:rFonts w:ascii="Arial" w:hAnsi="Arial" w:cs="Arial"/>
                <w:sz w:val="20"/>
                <w:szCs w:val="20"/>
              </w:rPr>
              <w:t xml:space="preserve"> </w:t>
            </w:r>
            <w:r w:rsidR="003C770A">
              <w:rPr>
                <w:rFonts w:ascii="Arial" w:hAnsi="Arial" w:cs="Arial"/>
                <w:sz w:val="20"/>
                <w:szCs w:val="20"/>
              </w:rPr>
              <w:t>B</w:t>
            </w:r>
            <w:r w:rsidR="00113D1F">
              <w:rPr>
                <w:rFonts w:ascii="Arial" w:hAnsi="Arial" w:cs="Arial"/>
                <w:sz w:val="20"/>
                <w:szCs w:val="20"/>
              </w:rPr>
              <w:t>enefit</w:t>
            </w:r>
          </w:p>
        </w:tc>
        <w:tc>
          <w:tcPr>
            <w:tcW w:w="1332" w:type="dxa"/>
            <w:hideMark/>
          </w:tcPr>
          <w:p w14:paraId="02C8186E" w14:textId="77777777" w:rsidR="008327DC" w:rsidRDefault="008327DC" w:rsidP="00144AAA">
            <w:pPr>
              <w:jc w:val="center"/>
              <w:rPr>
                <w:rFonts w:ascii="Arial" w:hAnsi="Arial" w:cs="Arial"/>
                <w:sz w:val="20"/>
                <w:szCs w:val="20"/>
              </w:rPr>
            </w:pPr>
          </w:p>
          <w:p w14:paraId="515DF406" w14:textId="77777777" w:rsidR="00144AAA" w:rsidRPr="00144AAA" w:rsidRDefault="00144AAA" w:rsidP="00144AAA">
            <w:pPr>
              <w:jc w:val="center"/>
              <w:rPr>
                <w:rFonts w:ascii="Arial" w:hAnsi="Arial" w:cs="Arial"/>
                <w:sz w:val="20"/>
                <w:szCs w:val="20"/>
              </w:rPr>
            </w:pPr>
            <w:r w:rsidRPr="00144AAA">
              <w:rPr>
                <w:rFonts w:ascii="Arial" w:hAnsi="Arial" w:cs="Arial"/>
                <w:sz w:val="20"/>
                <w:szCs w:val="20"/>
              </w:rPr>
              <w:t>Yes</w:t>
            </w:r>
          </w:p>
        </w:tc>
        <w:tc>
          <w:tcPr>
            <w:tcW w:w="2880" w:type="dxa"/>
            <w:hideMark/>
          </w:tcPr>
          <w:p w14:paraId="1C676FA3" w14:textId="77777777" w:rsidR="008327DC" w:rsidRDefault="008327DC" w:rsidP="00144AAA">
            <w:pPr>
              <w:rPr>
                <w:rFonts w:ascii="Arial" w:hAnsi="Arial" w:cs="Arial"/>
                <w:sz w:val="20"/>
                <w:szCs w:val="20"/>
              </w:rPr>
            </w:pPr>
          </w:p>
          <w:p w14:paraId="564CB7C4" w14:textId="461892BC" w:rsidR="00144AAA" w:rsidRPr="008D28EC" w:rsidRDefault="00113D1F" w:rsidP="00144AAA">
            <w:pPr>
              <w:rPr>
                <w:rFonts w:ascii="Arial" w:hAnsi="Arial" w:cs="Arial"/>
                <w:sz w:val="20"/>
                <w:szCs w:val="20"/>
              </w:rPr>
            </w:pPr>
            <w:r w:rsidRPr="008D28EC">
              <w:rPr>
                <w:rFonts w:ascii="Arial" w:hAnsi="Arial" w:cs="Arial"/>
                <w:sz w:val="20"/>
                <w:szCs w:val="20"/>
              </w:rPr>
              <w:t xml:space="preserve">This mandate expands the existing Essential Health Benefits </w:t>
            </w:r>
            <w:r w:rsidR="00B4637E" w:rsidRPr="008D28EC">
              <w:rPr>
                <w:rFonts w:ascii="Arial" w:hAnsi="Arial" w:cs="Arial"/>
                <w:sz w:val="20"/>
                <w:szCs w:val="20"/>
              </w:rPr>
              <w:t xml:space="preserve">(EHB) </w:t>
            </w:r>
            <w:r w:rsidRPr="008D28EC">
              <w:rPr>
                <w:rFonts w:ascii="Arial" w:hAnsi="Arial" w:cs="Arial"/>
                <w:sz w:val="20"/>
                <w:szCs w:val="20"/>
              </w:rPr>
              <w:t xml:space="preserve">currently in the EHB benchmark plan.  </w:t>
            </w:r>
            <w:r w:rsidR="0056538A" w:rsidRPr="008D28EC">
              <w:rPr>
                <w:rFonts w:ascii="Arial" w:hAnsi="Arial" w:cs="Arial"/>
                <w:sz w:val="20"/>
                <w:szCs w:val="20"/>
              </w:rPr>
              <w:t xml:space="preserve">The Bureau’s current  understanding is that </w:t>
            </w:r>
            <w:r w:rsidR="00B941B9" w:rsidRPr="008D28EC">
              <w:rPr>
                <w:rFonts w:ascii="Arial" w:hAnsi="Arial" w:cs="Arial"/>
                <w:sz w:val="20"/>
                <w:szCs w:val="20"/>
              </w:rPr>
              <w:t>pursuant to § 38.2-6506 A 1 a QHP in the individual or small group would be prohibited from providing this coverage. There is a concern that § 38.2-6506 A 1 is discriminatory under federal law and could be preempted.  If preempted or revised to require a QHP to provide the benefit, state defrayal would be required for the benefits required in addition to the current state mandate for coverage of mammograms.</w:t>
            </w:r>
          </w:p>
          <w:p w14:paraId="47328872" w14:textId="39499101" w:rsidR="0043363E" w:rsidRPr="00144AAA" w:rsidRDefault="0043363E" w:rsidP="00144AAA">
            <w:pPr>
              <w:rPr>
                <w:rFonts w:ascii="Arial" w:hAnsi="Arial" w:cs="Arial"/>
                <w:sz w:val="20"/>
                <w:szCs w:val="20"/>
              </w:rPr>
            </w:pPr>
          </w:p>
        </w:tc>
      </w:tr>
      <w:tr w:rsidR="00B4637E" w:rsidRPr="00144AAA" w14:paraId="62B3A69B" w14:textId="77777777" w:rsidTr="00456250">
        <w:trPr>
          <w:trHeight w:val="5750"/>
        </w:trPr>
        <w:tc>
          <w:tcPr>
            <w:tcW w:w="1480" w:type="dxa"/>
            <w:noWrap/>
            <w:hideMark/>
          </w:tcPr>
          <w:p w14:paraId="141AA390" w14:textId="77777777" w:rsidR="00B4637E" w:rsidRPr="00365355" w:rsidRDefault="00B4637E" w:rsidP="00B4637E">
            <w:pPr>
              <w:rPr>
                <w:rFonts w:ascii="Arial" w:hAnsi="Arial" w:cs="Arial"/>
                <w:sz w:val="20"/>
                <w:szCs w:val="20"/>
              </w:rPr>
            </w:pPr>
          </w:p>
          <w:p w14:paraId="5D018E5F" w14:textId="17FD2D2F" w:rsidR="00B4637E" w:rsidRPr="00B74FF9" w:rsidRDefault="00B74FF9" w:rsidP="00B4637E">
            <w:pPr>
              <w:rPr>
                <w:rFonts w:ascii="Arial" w:hAnsi="Arial" w:cs="Arial"/>
                <w:b/>
                <w:bCs/>
                <w:sz w:val="20"/>
                <w:szCs w:val="20"/>
              </w:rPr>
            </w:pPr>
            <w:r>
              <w:rPr>
                <w:rFonts w:ascii="Arial" w:hAnsi="Arial" w:cs="Arial"/>
                <w:b/>
                <w:bCs/>
                <w:sz w:val="20"/>
                <w:szCs w:val="20"/>
              </w:rPr>
              <w:t xml:space="preserve"> </w:t>
            </w:r>
            <w:r w:rsidR="00B4637E" w:rsidRPr="00B74FF9">
              <w:rPr>
                <w:rFonts w:ascii="Arial" w:hAnsi="Arial" w:cs="Arial"/>
                <w:b/>
                <w:bCs/>
                <w:sz w:val="20"/>
                <w:szCs w:val="20"/>
              </w:rPr>
              <w:t>HB 645</w:t>
            </w:r>
          </w:p>
        </w:tc>
        <w:tc>
          <w:tcPr>
            <w:tcW w:w="1394" w:type="dxa"/>
            <w:hideMark/>
          </w:tcPr>
          <w:p w14:paraId="1FBFC228" w14:textId="77777777" w:rsidR="00B4637E" w:rsidRDefault="00B4637E" w:rsidP="00B4637E">
            <w:pPr>
              <w:rPr>
                <w:rFonts w:ascii="Arial" w:hAnsi="Arial" w:cs="Arial"/>
                <w:sz w:val="20"/>
                <w:szCs w:val="20"/>
              </w:rPr>
            </w:pPr>
          </w:p>
          <w:p w14:paraId="1A8844BC" w14:textId="77777777" w:rsidR="00B4637E" w:rsidRPr="00144AAA" w:rsidRDefault="00B4637E" w:rsidP="00B4637E">
            <w:pPr>
              <w:rPr>
                <w:rFonts w:ascii="Arial" w:hAnsi="Arial" w:cs="Arial"/>
                <w:sz w:val="20"/>
                <w:szCs w:val="20"/>
              </w:rPr>
            </w:pPr>
            <w:r w:rsidRPr="00144AAA">
              <w:rPr>
                <w:rFonts w:ascii="Arial" w:hAnsi="Arial" w:cs="Arial"/>
                <w:sz w:val="20"/>
                <w:szCs w:val="20"/>
              </w:rPr>
              <w:t>Diabetes, broader coverage</w:t>
            </w:r>
          </w:p>
        </w:tc>
        <w:tc>
          <w:tcPr>
            <w:tcW w:w="1801" w:type="dxa"/>
            <w:hideMark/>
          </w:tcPr>
          <w:p w14:paraId="78C1AFB8" w14:textId="77777777" w:rsidR="00B4637E" w:rsidRDefault="00B4637E" w:rsidP="00B4637E">
            <w:pPr>
              <w:rPr>
                <w:rFonts w:ascii="Arial" w:hAnsi="Arial" w:cs="Arial"/>
                <w:sz w:val="20"/>
                <w:szCs w:val="20"/>
              </w:rPr>
            </w:pPr>
          </w:p>
          <w:p w14:paraId="397F145D" w14:textId="77777777" w:rsidR="00B4637E" w:rsidRDefault="00B4637E" w:rsidP="00B4637E">
            <w:pPr>
              <w:rPr>
                <w:rFonts w:ascii="Arial" w:hAnsi="Arial" w:cs="Arial"/>
                <w:sz w:val="20"/>
                <w:szCs w:val="20"/>
              </w:rPr>
            </w:pPr>
            <w:r w:rsidRPr="00144AAA">
              <w:rPr>
                <w:rFonts w:ascii="Arial" w:hAnsi="Arial" w:cs="Arial"/>
                <w:sz w:val="20"/>
                <w:szCs w:val="20"/>
              </w:rPr>
              <w:t>Expands requirements of existing coverage under §38.2-3418.10 to include prescribe insulin, special equipment, telemedicine self-help training and education. Diabetic benefits and services exempt from any deductible.</w:t>
            </w:r>
          </w:p>
          <w:p w14:paraId="5B3D0AA0" w14:textId="77777777" w:rsidR="00B4637E" w:rsidRPr="00144AAA" w:rsidRDefault="00B4637E" w:rsidP="00B4637E">
            <w:pPr>
              <w:rPr>
                <w:rFonts w:ascii="Arial" w:hAnsi="Arial" w:cs="Arial"/>
                <w:sz w:val="20"/>
                <w:szCs w:val="20"/>
              </w:rPr>
            </w:pPr>
          </w:p>
        </w:tc>
        <w:tc>
          <w:tcPr>
            <w:tcW w:w="1548" w:type="dxa"/>
            <w:hideMark/>
          </w:tcPr>
          <w:p w14:paraId="4FCD89F8" w14:textId="77777777" w:rsidR="00B4637E" w:rsidRDefault="00B4637E" w:rsidP="00B4637E">
            <w:pPr>
              <w:jc w:val="center"/>
              <w:rPr>
                <w:rFonts w:ascii="Arial" w:hAnsi="Arial" w:cs="Arial"/>
                <w:sz w:val="20"/>
                <w:szCs w:val="20"/>
              </w:rPr>
            </w:pPr>
          </w:p>
          <w:p w14:paraId="1B32D3E0" w14:textId="5213FE7F" w:rsidR="00B4637E" w:rsidRPr="00144AAA" w:rsidRDefault="00B4637E" w:rsidP="00B4637E">
            <w:pPr>
              <w:jc w:val="center"/>
              <w:rPr>
                <w:rFonts w:ascii="Arial" w:hAnsi="Arial" w:cs="Arial"/>
                <w:sz w:val="20"/>
                <w:szCs w:val="20"/>
              </w:rPr>
            </w:pPr>
            <w:r w:rsidRPr="00144AAA">
              <w:rPr>
                <w:rFonts w:ascii="Arial" w:hAnsi="Arial" w:cs="Arial"/>
                <w:sz w:val="20"/>
                <w:szCs w:val="20"/>
              </w:rPr>
              <w:t>Yes</w:t>
            </w:r>
            <w:r>
              <w:rPr>
                <w:rFonts w:ascii="Arial" w:hAnsi="Arial" w:cs="Arial"/>
                <w:sz w:val="20"/>
                <w:szCs w:val="20"/>
              </w:rPr>
              <w:t xml:space="preserve"> - Benefit</w:t>
            </w:r>
          </w:p>
        </w:tc>
        <w:tc>
          <w:tcPr>
            <w:tcW w:w="1332" w:type="dxa"/>
            <w:hideMark/>
          </w:tcPr>
          <w:p w14:paraId="07F6F79E" w14:textId="77777777" w:rsidR="00B4637E" w:rsidRDefault="00B4637E" w:rsidP="00B4637E">
            <w:pPr>
              <w:jc w:val="center"/>
              <w:rPr>
                <w:rFonts w:ascii="Arial" w:hAnsi="Arial" w:cs="Arial"/>
                <w:sz w:val="20"/>
                <w:szCs w:val="20"/>
              </w:rPr>
            </w:pPr>
          </w:p>
          <w:p w14:paraId="28862791" w14:textId="77777777" w:rsidR="00B4637E" w:rsidRPr="00144AAA" w:rsidRDefault="00B4637E" w:rsidP="00B4637E">
            <w:pPr>
              <w:jc w:val="center"/>
              <w:rPr>
                <w:rFonts w:ascii="Arial" w:hAnsi="Arial" w:cs="Arial"/>
                <w:sz w:val="20"/>
                <w:szCs w:val="20"/>
              </w:rPr>
            </w:pPr>
            <w:r w:rsidRPr="00144AAA">
              <w:rPr>
                <w:rFonts w:ascii="Arial" w:hAnsi="Arial" w:cs="Arial"/>
                <w:sz w:val="20"/>
                <w:szCs w:val="20"/>
              </w:rPr>
              <w:t>Yes</w:t>
            </w:r>
          </w:p>
        </w:tc>
        <w:tc>
          <w:tcPr>
            <w:tcW w:w="2880" w:type="dxa"/>
            <w:hideMark/>
          </w:tcPr>
          <w:p w14:paraId="7E4A0A89" w14:textId="77777777" w:rsidR="00B4637E" w:rsidRDefault="00B4637E" w:rsidP="00B4637E">
            <w:pPr>
              <w:rPr>
                <w:rFonts w:ascii="Arial" w:hAnsi="Arial" w:cs="Arial"/>
                <w:sz w:val="20"/>
                <w:szCs w:val="20"/>
              </w:rPr>
            </w:pPr>
          </w:p>
          <w:p w14:paraId="08BD56B2" w14:textId="69969A62" w:rsidR="00B4637E" w:rsidRPr="008D28EC" w:rsidRDefault="00B4637E" w:rsidP="00B4637E">
            <w:pPr>
              <w:rPr>
                <w:rFonts w:ascii="Arial" w:hAnsi="Arial" w:cs="Arial"/>
                <w:sz w:val="20"/>
                <w:szCs w:val="20"/>
              </w:rPr>
            </w:pPr>
            <w:r w:rsidRPr="008D28EC">
              <w:rPr>
                <w:rFonts w:ascii="Arial" w:hAnsi="Arial" w:cs="Arial"/>
                <w:sz w:val="20"/>
                <w:szCs w:val="20"/>
              </w:rPr>
              <w:t>This mandate expands the existing Essential Health Benefits (EHB) currently in the EHB benchmark plan.  The Bureau’s current  understanding is that</w:t>
            </w:r>
            <w:r w:rsidR="00B941B9" w:rsidRPr="008D28EC">
              <w:rPr>
                <w:rFonts w:ascii="Arial" w:hAnsi="Arial" w:cs="Arial"/>
                <w:sz w:val="20"/>
                <w:szCs w:val="20"/>
              </w:rPr>
              <w:t xml:space="preserve"> pursuant to § 38.2-6506 A 1 a QHP in the individual or small group would be prohibited from providing this coverage. There is a concern that § 38.2-6506 A 1 is discriminatory under federal law and could be preempted.  If preempted or revised to require a QHP to provide the benefit, state defrayal would be required for the benefits required in addition to the current state mandate for coverage </w:t>
            </w:r>
            <w:r w:rsidR="009B59B9" w:rsidRPr="008D28EC">
              <w:rPr>
                <w:rFonts w:ascii="Arial" w:hAnsi="Arial" w:cs="Arial"/>
                <w:sz w:val="20"/>
                <w:szCs w:val="20"/>
              </w:rPr>
              <w:t>for diabetics.</w:t>
            </w:r>
          </w:p>
        </w:tc>
      </w:tr>
      <w:tr w:rsidR="00B4637E" w:rsidRPr="00144AAA" w14:paraId="14B0C0F2" w14:textId="77777777" w:rsidTr="009B59B9">
        <w:trPr>
          <w:trHeight w:val="1272"/>
        </w:trPr>
        <w:tc>
          <w:tcPr>
            <w:tcW w:w="1480" w:type="dxa"/>
            <w:noWrap/>
            <w:hideMark/>
          </w:tcPr>
          <w:p w14:paraId="210B6E23" w14:textId="77777777" w:rsidR="00B4637E" w:rsidRPr="00365355" w:rsidRDefault="00B4637E" w:rsidP="00B4637E">
            <w:pPr>
              <w:rPr>
                <w:rFonts w:ascii="Arial" w:hAnsi="Arial" w:cs="Arial"/>
                <w:sz w:val="20"/>
                <w:szCs w:val="20"/>
              </w:rPr>
            </w:pPr>
          </w:p>
          <w:p w14:paraId="4E8D08C9" w14:textId="66BB1D2B" w:rsidR="00B4637E" w:rsidRPr="00B74FF9" w:rsidRDefault="00B74FF9" w:rsidP="00B4637E">
            <w:pPr>
              <w:rPr>
                <w:rFonts w:ascii="Arial" w:hAnsi="Arial" w:cs="Arial"/>
                <w:b/>
                <w:bCs/>
                <w:sz w:val="20"/>
                <w:szCs w:val="20"/>
              </w:rPr>
            </w:pPr>
            <w:r>
              <w:rPr>
                <w:rFonts w:ascii="Arial" w:hAnsi="Arial" w:cs="Arial"/>
                <w:b/>
                <w:bCs/>
                <w:sz w:val="20"/>
                <w:szCs w:val="20"/>
              </w:rPr>
              <w:t xml:space="preserve"> </w:t>
            </w:r>
            <w:r w:rsidR="00B4637E" w:rsidRPr="00B74FF9">
              <w:rPr>
                <w:rFonts w:ascii="Arial" w:hAnsi="Arial" w:cs="Arial"/>
                <w:b/>
                <w:bCs/>
                <w:sz w:val="20"/>
                <w:szCs w:val="20"/>
              </w:rPr>
              <w:t>HB 776</w:t>
            </w:r>
          </w:p>
        </w:tc>
        <w:tc>
          <w:tcPr>
            <w:tcW w:w="1394" w:type="dxa"/>
            <w:hideMark/>
          </w:tcPr>
          <w:p w14:paraId="1396D938" w14:textId="77777777" w:rsidR="00B4637E" w:rsidRDefault="00B4637E" w:rsidP="00B4637E">
            <w:pPr>
              <w:rPr>
                <w:rFonts w:ascii="Arial" w:hAnsi="Arial" w:cs="Arial"/>
                <w:sz w:val="20"/>
                <w:szCs w:val="20"/>
              </w:rPr>
            </w:pPr>
          </w:p>
          <w:p w14:paraId="1D17F6CA" w14:textId="77777777" w:rsidR="00B4637E" w:rsidRPr="00144AAA" w:rsidRDefault="00B4637E" w:rsidP="00B4637E">
            <w:pPr>
              <w:rPr>
                <w:rFonts w:ascii="Arial" w:hAnsi="Arial" w:cs="Arial"/>
                <w:sz w:val="20"/>
                <w:szCs w:val="20"/>
              </w:rPr>
            </w:pPr>
            <w:r w:rsidRPr="00144AAA">
              <w:rPr>
                <w:rFonts w:ascii="Arial" w:hAnsi="Arial" w:cs="Arial"/>
                <w:sz w:val="20"/>
                <w:szCs w:val="20"/>
              </w:rPr>
              <w:t>Fertility preservation, cancer patients</w:t>
            </w:r>
          </w:p>
        </w:tc>
        <w:tc>
          <w:tcPr>
            <w:tcW w:w="1801" w:type="dxa"/>
            <w:hideMark/>
          </w:tcPr>
          <w:p w14:paraId="3B6354C3" w14:textId="77777777" w:rsidR="00B4637E" w:rsidRDefault="00B4637E" w:rsidP="00B4637E">
            <w:pPr>
              <w:rPr>
                <w:rFonts w:ascii="Arial" w:hAnsi="Arial" w:cs="Arial"/>
                <w:sz w:val="20"/>
                <w:szCs w:val="20"/>
              </w:rPr>
            </w:pPr>
          </w:p>
          <w:p w14:paraId="6CB78B36" w14:textId="77777777" w:rsidR="00B4637E" w:rsidRDefault="00B4637E" w:rsidP="00B4637E">
            <w:pPr>
              <w:rPr>
                <w:rFonts w:ascii="Arial" w:hAnsi="Arial" w:cs="Arial"/>
                <w:sz w:val="20"/>
                <w:szCs w:val="20"/>
              </w:rPr>
            </w:pPr>
            <w:r w:rsidRPr="00144AAA">
              <w:rPr>
                <w:rFonts w:ascii="Arial" w:hAnsi="Arial" w:cs="Arial"/>
                <w:sz w:val="20"/>
                <w:szCs w:val="20"/>
              </w:rPr>
              <w:t>QHPs required to provide certain coverages for fertility services that are excluded coverages in the Benchmark Plan.</w:t>
            </w:r>
          </w:p>
          <w:p w14:paraId="586496AB" w14:textId="77777777" w:rsidR="00B4637E" w:rsidRPr="00144AAA" w:rsidRDefault="00B4637E" w:rsidP="00B4637E">
            <w:pPr>
              <w:rPr>
                <w:rFonts w:ascii="Arial" w:hAnsi="Arial" w:cs="Arial"/>
                <w:sz w:val="20"/>
                <w:szCs w:val="20"/>
              </w:rPr>
            </w:pPr>
          </w:p>
        </w:tc>
        <w:tc>
          <w:tcPr>
            <w:tcW w:w="1548" w:type="dxa"/>
            <w:hideMark/>
          </w:tcPr>
          <w:p w14:paraId="25F5084C" w14:textId="77777777" w:rsidR="00B4637E" w:rsidRDefault="00B4637E" w:rsidP="00B4637E">
            <w:pPr>
              <w:jc w:val="center"/>
              <w:rPr>
                <w:rFonts w:ascii="Arial" w:hAnsi="Arial" w:cs="Arial"/>
                <w:sz w:val="20"/>
                <w:szCs w:val="20"/>
              </w:rPr>
            </w:pPr>
          </w:p>
          <w:p w14:paraId="444C0DD9" w14:textId="7678EC25" w:rsidR="00B4637E" w:rsidRPr="00144AAA" w:rsidRDefault="00B4637E" w:rsidP="00B4637E">
            <w:pPr>
              <w:jc w:val="center"/>
              <w:rPr>
                <w:rFonts w:ascii="Arial" w:hAnsi="Arial" w:cs="Arial"/>
                <w:sz w:val="20"/>
                <w:szCs w:val="20"/>
              </w:rPr>
            </w:pPr>
            <w:r w:rsidRPr="00144AAA">
              <w:rPr>
                <w:rFonts w:ascii="Arial" w:hAnsi="Arial" w:cs="Arial"/>
                <w:sz w:val="20"/>
                <w:szCs w:val="20"/>
              </w:rPr>
              <w:t>Yes</w:t>
            </w:r>
            <w:r>
              <w:rPr>
                <w:rFonts w:ascii="Arial" w:hAnsi="Arial" w:cs="Arial"/>
                <w:sz w:val="20"/>
                <w:szCs w:val="20"/>
              </w:rPr>
              <w:t xml:space="preserve"> - Benefit</w:t>
            </w:r>
          </w:p>
        </w:tc>
        <w:tc>
          <w:tcPr>
            <w:tcW w:w="1332" w:type="dxa"/>
            <w:hideMark/>
          </w:tcPr>
          <w:p w14:paraId="34BC0730" w14:textId="77777777" w:rsidR="00B4637E" w:rsidRDefault="00B4637E" w:rsidP="00B4637E">
            <w:pPr>
              <w:jc w:val="center"/>
              <w:rPr>
                <w:rFonts w:ascii="Arial" w:hAnsi="Arial" w:cs="Arial"/>
                <w:sz w:val="20"/>
                <w:szCs w:val="20"/>
              </w:rPr>
            </w:pPr>
          </w:p>
          <w:p w14:paraId="2C6C8F9C" w14:textId="77777777" w:rsidR="00B4637E" w:rsidRPr="00144AAA" w:rsidRDefault="00B4637E" w:rsidP="00B4637E">
            <w:pPr>
              <w:jc w:val="center"/>
              <w:rPr>
                <w:rFonts w:ascii="Arial" w:hAnsi="Arial" w:cs="Arial"/>
                <w:sz w:val="20"/>
                <w:szCs w:val="20"/>
              </w:rPr>
            </w:pPr>
            <w:r w:rsidRPr="00144AAA">
              <w:rPr>
                <w:rFonts w:ascii="Arial" w:hAnsi="Arial" w:cs="Arial"/>
                <w:sz w:val="20"/>
                <w:szCs w:val="20"/>
              </w:rPr>
              <w:t>Yes</w:t>
            </w:r>
          </w:p>
        </w:tc>
        <w:tc>
          <w:tcPr>
            <w:tcW w:w="2880" w:type="dxa"/>
            <w:hideMark/>
          </w:tcPr>
          <w:p w14:paraId="43CFAFC0" w14:textId="77777777" w:rsidR="00B4637E" w:rsidRDefault="00B4637E" w:rsidP="00B4637E">
            <w:pPr>
              <w:rPr>
                <w:rFonts w:ascii="Arial" w:hAnsi="Arial" w:cs="Arial"/>
                <w:sz w:val="20"/>
                <w:szCs w:val="20"/>
              </w:rPr>
            </w:pPr>
          </w:p>
          <w:p w14:paraId="0D56B020" w14:textId="4B855B55" w:rsidR="00B4637E" w:rsidRPr="00DE3AC2" w:rsidRDefault="00B4637E" w:rsidP="00B4637E">
            <w:pPr>
              <w:rPr>
                <w:rFonts w:ascii="Arial" w:hAnsi="Arial" w:cs="Arial"/>
                <w:sz w:val="20"/>
                <w:szCs w:val="20"/>
              </w:rPr>
            </w:pPr>
            <w:r w:rsidRPr="00DE3AC2">
              <w:rPr>
                <w:rFonts w:ascii="Arial" w:hAnsi="Arial" w:cs="Arial"/>
                <w:sz w:val="20"/>
                <w:szCs w:val="20"/>
              </w:rPr>
              <w:t>Coverage for this benefit is not an Essential Health Benefit (EHB) in the current EHB Benchmark Plan.  As such, federal law would require the state to make defrayal payments for the cost of this benefit as it applies to qualified health plans (QHP</w:t>
            </w:r>
            <w:r w:rsidR="00B37E99" w:rsidRPr="00DE3AC2">
              <w:rPr>
                <w:rFonts w:ascii="Arial" w:hAnsi="Arial" w:cs="Arial"/>
                <w:sz w:val="20"/>
                <w:szCs w:val="20"/>
              </w:rPr>
              <w:t>s</w:t>
            </w:r>
            <w:r w:rsidRPr="00DE3AC2">
              <w:rPr>
                <w:rFonts w:ascii="Arial" w:hAnsi="Arial" w:cs="Arial"/>
                <w:sz w:val="20"/>
                <w:szCs w:val="20"/>
              </w:rPr>
              <w:t xml:space="preserve">) offered through the </w:t>
            </w:r>
            <w:r w:rsidR="00B37E99" w:rsidRPr="00DE3AC2">
              <w:rPr>
                <w:rFonts w:ascii="Arial" w:hAnsi="Arial" w:cs="Arial"/>
                <w:sz w:val="20"/>
                <w:szCs w:val="20"/>
              </w:rPr>
              <w:t xml:space="preserve">state </w:t>
            </w:r>
            <w:r w:rsidRPr="00DE3AC2">
              <w:rPr>
                <w:rFonts w:ascii="Arial" w:hAnsi="Arial" w:cs="Arial"/>
                <w:sz w:val="20"/>
                <w:szCs w:val="20"/>
              </w:rPr>
              <w:t>health</w:t>
            </w:r>
            <w:r w:rsidR="00B37E99" w:rsidRPr="00DE3AC2">
              <w:rPr>
                <w:rFonts w:ascii="Arial" w:hAnsi="Arial" w:cs="Arial"/>
                <w:sz w:val="20"/>
                <w:szCs w:val="20"/>
              </w:rPr>
              <w:t xml:space="preserve"> </w:t>
            </w:r>
            <w:r w:rsidRPr="00DE3AC2">
              <w:rPr>
                <w:rFonts w:ascii="Arial" w:hAnsi="Arial" w:cs="Arial"/>
                <w:sz w:val="20"/>
                <w:szCs w:val="20"/>
              </w:rPr>
              <w:t xml:space="preserve"> benefit exchange (see below for further detail).  Importantly, note that under Virginia law (§ 38.2-6506 A 1 of the Code), QHPs are currently prohibited from providing benefits in addition to EHB; therefore, there would be no defrayal cost to the state so long as QHPs do not provide this mandate. The BOI is concerned, however, that the provisions of this statute may run afoul of ACA requirements (see below for further detail).</w:t>
            </w:r>
          </w:p>
          <w:p w14:paraId="0D87255B" w14:textId="29C1DD62" w:rsidR="0043363E" w:rsidRPr="00144AAA" w:rsidRDefault="0043363E" w:rsidP="00B4637E">
            <w:pPr>
              <w:rPr>
                <w:rFonts w:ascii="Arial" w:hAnsi="Arial" w:cs="Arial"/>
                <w:sz w:val="20"/>
                <w:szCs w:val="20"/>
              </w:rPr>
            </w:pPr>
          </w:p>
        </w:tc>
      </w:tr>
      <w:tr w:rsidR="00B4637E" w:rsidRPr="00144AAA" w14:paraId="5E42F519" w14:textId="77777777" w:rsidTr="009B59B9">
        <w:trPr>
          <w:trHeight w:val="2280"/>
        </w:trPr>
        <w:tc>
          <w:tcPr>
            <w:tcW w:w="1480" w:type="dxa"/>
            <w:noWrap/>
            <w:hideMark/>
          </w:tcPr>
          <w:p w14:paraId="5BE6AFD2" w14:textId="77777777" w:rsidR="00B4637E" w:rsidRDefault="00B4637E" w:rsidP="00B4637E">
            <w:pPr>
              <w:rPr>
                <w:rFonts w:ascii="Arial" w:hAnsi="Arial" w:cs="Arial"/>
                <w:b/>
                <w:bCs/>
                <w:sz w:val="20"/>
                <w:szCs w:val="20"/>
              </w:rPr>
            </w:pPr>
          </w:p>
          <w:p w14:paraId="3BF3F610" w14:textId="335AE432" w:rsidR="00B4637E" w:rsidRPr="00144AAA" w:rsidRDefault="00B74FF9" w:rsidP="00B4637E">
            <w:pPr>
              <w:rPr>
                <w:rFonts w:ascii="Arial" w:hAnsi="Arial" w:cs="Arial"/>
                <w:b/>
                <w:bCs/>
                <w:sz w:val="20"/>
                <w:szCs w:val="20"/>
              </w:rPr>
            </w:pPr>
            <w:r>
              <w:rPr>
                <w:rFonts w:ascii="Arial" w:hAnsi="Arial" w:cs="Arial"/>
                <w:b/>
                <w:bCs/>
                <w:sz w:val="20"/>
                <w:szCs w:val="20"/>
              </w:rPr>
              <w:t xml:space="preserve"> </w:t>
            </w:r>
            <w:r w:rsidR="00B4637E" w:rsidRPr="00144AAA">
              <w:rPr>
                <w:rFonts w:ascii="Arial" w:hAnsi="Arial" w:cs="Arial"/>
                <w:b/>
                <w:bCs/>
                <w:sz w:val="20"/>
                <w:szCs w:val="20"/>
              </w:rPr>
              <w:t>HB 1036</w:t>
            </w:r>
          </w:p>
        </w:tc>
        <w:tc>
          <w:tcPr>
            <w:tcW w:w="1394" w:type="dxa"/>
            <w:hideMark/>
          </w:tcPr>
          <w:p w14:paraId="1933976F" w14:textId="77777777" w:rsidR="00B4637E" w:rsidRDefault="00B4637E" w:rsidP="00B4637E">
            <w:pPr>
              <w:rPr>
                <w:rFonts w:ascii="Arial" w:hAnsi="Arial" w:cs="Arial"/>
                <w:sz w:val="20"/>
                <w:szCs w:val="20"/>
              </w:rPr>
            </w:pPr>
          </w:p>
          <w:p w14:paraId="6B454C12" w14:textId="77777777" w:rsidR="00B4637E" w:rsidRPr="00144AAA" w:rsidRDefault="00B4637E" w:rsidP="00B4637E">
            <w:pPr>
              <w:rPr>
                <w:rFonts w:ascii="Arial" w:hAnsi="Arial" w:cs="Arial"/>
                <w:sz w:val="20"/>
                <w:szCs w:val="20"/>
              </w:rPr>
            </w:pPr>
            <w:r w:rsidRPr="00144AAA">
              <w:rPr>
                <w:rFonts w:ascii="Arial" w:hAnsi="Arial" w:cs="Arial"/>
                <w:sz w:val="20"/>
                <w:szCs w:val="20"/>
              </w:rPr>
              <w:t>Mental health screenings</w:t>
            </w:r>
          </w:p>
        </w:tc>
        <w:tc>
          <w:tcPr>
            <w:tcW w:w="1801" w:type="dxa"/>
            <w:hideMark/>
          </w:tcPr>
          <w:p w14:paraId="5C844B12" w14:textId="77777777" w:rsidR="00B4637E" w:rsidRDefault="00B4637E" w:rsidP="00B4637E">
            <w:pPr>
              <w:rPr>
                <w:rFonts w:ascii="Arial" w:hAnsi="Arial" w:cs="Arial"/>
                <w:sz w:val="20"/>
                <w:szCs w:val="20"/>
              </w:rPr>
            </w:pPr>
          </w:p>
          <w:p w14:paraId="5A40C72E" w14:textId="64947DAA" w:rsidR="00B4637E" w:rsidRDefault="00B4637E" w:rsidP="00B4637E">
            <w:pPr>
              <w:rPr>
                <w:rFonts w:ascii="Arial" w:hAnsi="Arial" w:cs="Arial"/>
                <w:sz w:val="20"/>
                <w:szCs w:val="20"/>
              </w:rPr>
            </w:pPr>
            <w:r w:rsidRPr="00144AAA">
              <w:rPr>
                <w:rFonts w:ascii="Arial" w:hAnsi="Arial" w:cs="Arial"/>
                <w:sz w:val="20"/>
                <w:szCs w:val="20"/>
              </w:rPr>
              <w:t>Expands requirements of existing coverage under §38.2-341</w:t>
            </w:r>
            <w:r>
              <w:rPr>
                <w:rFonts w:ascii="Arial" w:hAnsi="Arial" w:cs="Arial"/>
                <w:sz w:val="20"/>
                <w:szCs w:val="20"/>
              </w:rPr>
              <w:t>2</w:t>
            </w:r>
            <w:r w:rsidRPr="00144AAA">
              <w:rPr>
                <w:rFonts w:ascii="Arial" w:hAnsi="Arial" w:cs="Arial"/>
                <w:sz w:val="20"/>
                <w:szCs w:val="20"/>
              </w:rPr>
              <w:t>.1 for mental health and substance use disorder services and EHB category.  There is currently no requirement for mental health screenings for early detection or prevention of mental health.</w:t>
            </w:r>
          </w:p>
          <w:p w14:paraId="02262128" w14:textId="77777777" w:rsidR="00B4637E" w:rsidRPr="00144AAA" w:rsidRDefault="00B4637E" w:rsidP="00B4637E">
            <w:pPr>
              <w:rPr>
                <w:rFonts w:ascii="Arial" w:hAnsi="Arial" w:cs="Arial"/>
                <w:sz w:val="20"/>
                <w:szCs w:val="20"/>
              </w:rPr>
            </w:pPr>
          </w:p>
        </w:tc>
        <w:tc>
          <w:tcPr>
            <w:tcW w:w="1548" w:type="dxa"/>
            <w:hideMark/>
          </w:tcPr>
          <w:p w14:paraId="0BD2AF29" w14:textId="77777777" w:rsidR="00B4637E" w:rsidRDefault="00B4637E" w:rsidP="00B4637E">
            <w:pPr>
              <w:jc w:val="center"/>
              <w:rPr>
                <w:rFonts w:ascii="Arial" w:hAnsi="Arial" w:cs="Arial"/>
                <w:sz w:val="20"/>
                <w:szCs w:val="20"/>
              </w:rPr>
            </w:pPr>
          </w:p>
          <w:p w14:paraId="2C967125" w14:textId="1947EAEE" w:rsidR="00B4637E" w:rsidRPr="00144AAA" w:rsidRDefault="00B4637E" w:rsidP="00B4637E">
            <w:pPr>
              <w:jc w:val="center"/>
              <w:rPr>
                <w:rFonts w:ascii="Arial" w:hAnsi="Arial" w:cs="Arial"/>
                <w:sz w:val="20"/>
                <w:szCs w:val="20"/>
              </w:rPr>
            </w:pPr>
            <w:r w:rsidRPr="00144AAA">
              <w:rPr>
                <w:rFonts w:ascii="Arial" w:hAnsi="Arial" w:cs="Arial"/>
                <w:sz w:val="20"/>
                <w:szCs w:val="20"/>
              </w:rPr>
              <w:t>Yes</w:t>
            </w:r>
            <w:r>
              <w:rPr>
                <w:rFonts w:ascii="Arial" w:hAnsi="Arial" w:cs="Arial"/>
                <w:sz w:val="20"/>
                <w:szCs w:val="20"/>
              </w:rPr>
              <w:t xml:space="preserve"> - Benefit</w:t>
            </w:r>
          </w:p>
        </w:tc>
        <w:tc>
          <w:tcPr>
            <w:tcW w:w="1332" w:type="dxa"/>
            <w:hideMark/>
          </w:tcPr>
          <w:p w14:paraId="227F5A39" w14:textId="77777777" w:rsidR="00B4637E" w:rsidRDefault="00B4637E" w:rsidP="00B4637E">
            <w:pPr>
              <w:jc w:val="center"/>
              <w:rPr>
                <w:rFonts w:ascii="Arial" w:hAnsi="Arial" w:cs="Arial"/>
                <w:sz w:val="20"/>
                <w:szCs w:val="20"/>
              </w:rPr>
            </w:pPr>
          </w:p>
          <w:p w14:paraId="0AB4F35F" w14:textId="77777777" w:rsidR="00B4637E" w:rsidRPr="00144AAA" w:rsidRDefault="00B4637E" w:rsidP="00B4637E">
            <w:pPr>
              <w:jc w:val="center"/>
              <w:rPr>
                <w:rFonts w:ascii="Arial" w:hAnsi="Arial" w:cs="Arial"/>
                <w:sz w:val="20"/>
                <w:szCs w:val="20"/>
              </w:rPr>
            </w:pPr>
            <w:r w:rsidRPr="00144AAA">
              <w:rPr>
                <w:rFonts w:ascii="Arial" w:hAnsi="Arial" w:cs="Arial"/>
                <w:sz w:val="20"/>
                <w:szCs w:val="20"/>
              </w:rPr>
              <w:t>Yes</w:t>
            </w:r>
          </w:p>
        </w:tc>
        <w:tc>
          <w:tcPr>
            <w:tcW w:w="2880" w:type="dxa"/>
            <w:hideMark/>
          </w:tcPr>
          <w:p w14:paraId="09BFB61B" w14:textId="77777777" w:rsidR="00B4637E" w:rsidRDefault="00B4637E" w:rsidP="00B4637E">
            <w:pPr>
              <w:rPr>
                <w:rFonts w:ascii="Arial" w:hAnsi="Arial" w:cs="Arial"/>
                <w:sz w:val="20"/>
                <w:szCs w:val="20"/>
              </w:rPr>
            </w:pPr>
          </w:p>
          <w:p w14:paraId="55B2C2AC" w14:textId="4A3ECA35" w:rsidR="00B4637E" w:rsidRPr="008D28EC" w:rsidRDefault="00B4637E" w:rsidP="00B4637E">
            <w:pPr>
              <w:rPr>
                <w:rFonts w:ascii="Arial" w:hAnsi="Arial" w:cs="Arial"/>
                <w:sz w:val="20"/>
                <w:szCs w:val="20"/>
              </w:rPr>
            </w:pPr>
            <w:r w:rsidRPr="008D28EC">
              <w:rPr>
                <w:rFonts w:ascii="Arial" w:hAnsi="Arial" w:cs="Arial"/>
                <w:sz w:val="20"/>
                <w:szCs w:val="20"/>
              </w:rPr>
              <w:t>This mandate expands the existing Essential Health Benefits (EHB) currently in the EHB benchmark plan.  The Bureau’s current  understanding is that</w:t>
            </w:r>
            <w:r w:rsidR="009B59B9" w:rsidRPr="008D28EC">
              <w:rPr>
                <w:rFonts w:ascii="Arial" w:hAnsi="Arial" w:cs="Arial"/>
                <w:sz w:val="20"/>
                <w:szCs w:val="20"/>
              </w:rPr>
              <w:t xml:space="preserve"> pursuant to § 38.2-6506 A 1 a QHP in the individual or small group would be prohibited from providing this coverage. There is a concern that § 38.2-6506 A 1 is discriminatory under federal law and could be preempted.  If preempted or revised to require a QHP to provide the benefit, state defrayal would be required for the benefits required in addition to the current state mandate for coverage of mental health screenings.</w:t>
            </w:r>
          </w:p>
          <w:p w14:paraId="35C044F4" w14:textId="77777777" w:rsidR="0043363E" w:rsidRDefault="0043363E" w:rsidP="00B4637E">
            <w:pPr>
              <w:rPr>
                <w:rFonts w:ascii="Arial" w:hAnsi="Arial" w:cs="Arial"/>
                <w:sz w:val="20"/>
                <w:szCs w:val="20"/>
              </w:rPr>
            </w:pPr>
          </w:p>
          <w:p w14:paraId="31DE9E8A" w14:textId="77777777" w:rsidR="0043363E" w:rsidRDefault="0043363E" w:rsidP="00B4637E">
            <w:pPr>
              <w:rPr>
                <w:rFonts w:ascii="Arial" w:hAnsi="Arial" w:cs="Arial"/>
                <w:sz w:val="20"/>
                <w:szCs w:val="20"/>
              </w:rPr>
            </w:pPr>
          </w:p>
          <w:p w14:paraId="3FF96921" w14:textId="2C221078" w:rsidR="0043363E" w:rsidRPr="00144AAA" w:rsidRDefault="0043363E" w:rsidP="00B4637E">
            <w:pPr>
              <w:rPr>
                <w:rFonts w:ascii="Arial" w:hAnsi="Arial" w:cs="Arial"/>
                <w:sz w:val="20"/>
                <w:szCs w:val="20"/>
              </w:rPr>
            </w:pPr>
          </w:p>
        </w:tc>
      </w:tr>
      <w:tr w:rsidR="00B4637E" w:rsidRPr="00144AAA" w14:paraId="60E5BF1C" w14:textId="77777777" w:rsidTr="009B59B9">
        <w:trPr>
          <w:trHeight w:val="1925"/>
        </w:trPr>
        <w:tc>
          <w:tcPr>
            <w:tcW w:w="1480" w:type="dxa"/>
            <w:noWrap/>
            <w:hideMark/>
          </w:tcPr>
          <w:p w14:paraId="49C19F51" w14:textId="77777777" w:rsidR="00B4637E" w:rsidRDefault="00B4637E" w:rsidP="00B4637E">
            <w:pPr>
              <w:rPr>
                <w:rFonts w:ascii="Arial" w:hAnsi="Arial" w:cs="Arial"/>
                <w:b/>
                <w:bCs/>
                <w:sz w:val="20"/>
                <w:szCs w:val="20"/>
              </w:rPr>
            </w:pPr>
          </w:p>
          <w:p w14:paraId="2409BB19" w14:textId="40F12962" w:rsidR="00B4637E" w:rsidRPr="00144AAA" w:rsidRDefault="00B74FF9" w:rsidP="00B4637E">
            <w:pPr>
              <w:rPr>
                <w:rFonts w:ascii="Arial" w:hAnsi="Arial" w:cs="Arial"/>
                <w:b/>
                <w:bCs/>
                <w:sz w:val="20"/>
                <w:szCs w:val="20"/>
              </w:rPr>
            </w:pPr>
            <w:r>
              <w:rPr>
                <w:rFonts w:ascii="Arial" w:hAnsi="Arial" w:cs="Arial"/>
                <w:b/>
                <w:bCs/>
                <w:sz w:val="20"/>
                <w:szCs w:val="20"/>
              </w:rPr>
              <w:t xml:space="preserve"> </w:t>
            </w:r>
            <w:r w:rsidR="00B4637E" w:rsidRPr="00144AAA">
              <w:rPr>
                <w:rFonts w:ascii="Arial" w:hAnsi="Arial" w:cs="Arial"/>
                <w:b/>
                <w:bCs/>
                <w:sz w:val="20"/>
                <w:szCs w:val="20"/>
              </w:rPr>
              <w:t>HB 1384</w:t>
            </w:r>
          </w:p>
        </w:tc>
        <w:tc>
          <w:tcPr>
            <w:tcW w:w="1394" w:type="dxa"/>
            <w:hideMark/>
          </w:tcPr>
          <w:p w14:paraId="245B6B4D" w14:textId="77777777" w:rsidR="00B4637E" w:rsidRDefault="00B4637E" w:rsidP="00B4637E">
            <w:pPr>
              <w:rPr>
                <w:rFonts w:ascii="Arial" w:hAnsi="Arial" w:cs="Arial"/>
                <w:sz w:val="20"/>
                <w:szCs w:val="20"/>
              </w:rPr>
            </w:pPr>
          </w:p>
          <w:p w14:paraId="62302BCF" w14:textId="77777777" w:rsidR="00B4637E" w:rsidRPr="00144AAA" w:rsidRDefault="00B4637E" w:rsidP="00B4637E">
            <w:pPr>
              <w:rPr>
                <w:rFonts w:ascii="Arial" w:hAnsi="Arial" w:cs="Arial"/>
                <w:sz w:val="20"/>
                <w:szCs w:val="20"/>
              </w:rPr>
            </w:pPr>
            <w:r w:rsidRPr="00144AAA">
              <w:rPr>
                <w:rFonts w:ascii="Arial" w:hAnsi="Arial" w:cs="Arial"/>
                <w:sz w:val="20"/>
                <w:szCs w:val="20"/>
              </w:rPr>
              <w:t>Provider contract changes</w:t>
            </w:r>
          </w:p>
        </w:tc>
        <w:tc>
          <w:tcPr>
            <w:tcW w:w="1801" w:type="dxa"/>
            <w:hideMark/>
          </w:tcPr>
          <w:p w14:paraId="6D0D7EEF" w14:textId="77777777" w:rsidR="00B4637E" w:rsidRDefault="00B4637E" w:rsidP="00B4637E">
            <w:pPr>
              <w:rPr>
                <w:rFonts w:ascii="Arial" w:hAnsi="Arial" w:cs="Arial"/>
                <w:sz w:val="20"/>
                <w:szCs w:val="20"/>
              </w:rPr>
            </w:pPr>
          </w:p>
          <w:p w14:paraId="39CB95C1" w14:textId="77777777" w:rsidR="00B4637E" w:rsidRPr="00144AAA" w:rsidRDefault="00B4637E" w:rsidP="00B4637E">
            <w:pPr>
              <w:rPr>
                <w:rFonts w:ascii="Arial" w:hAnsi="Arial" w:cs="Arial"/>
                <w:sz w:val="20"/>
                <w:szCs w:val="20"/>
              </w:rPr>
            </w:pPr>
            <w:r w:rsidRPr="00144AAA">
              <w:rPr>
                <w:rFonts w:ascii="Arial" w:hAnsi="Arial" w:cs="Arial"/>
                <w:sz w:val="20"/>
                <w:szCs w:val="20"/>
              </w:rPr>
              <w:t>Changes to provider contracts must be agreed to by provider in writing.</w:t>
            </w:r>
          </w:p>
        </w:tc>
        <w:tc>
          <w:tcPr>
            <w:tcW w:w="1548" w:type="dxa"/>
            <w:hideMark/>
          </w:tcPr>
          <w:p w14:paraId="523CDB90" w14:textId="77777777" w:rsidR="00B4637E" w:rsidRDefault="00B4637E" w:rsidP="00B4637E">
            <w:pPr>
              <w:jc w:val="center"/>
              <w:rPr>
                <w:rFonts w:ascii="Arial" w:hAnsi="Arial" w:cs="Arial"/>
                <w:sz w:val="20"/>
                <w:szCs w:val="20"/>
              </w:rPr>
            </w:pPr>
          </w:p>
          <w:p w14:paraId="03C003F9" w14:textId="77777777" w:rsidR="00B4637E" w:rsidRPr="00144AAA" w:rsidRDefault="00B4637E" w:rsidP="00B4637E">
            <w:pPr>
              <w:jc w:val="center"/>
              <w:rPr>
                <w:rFonts w:ascii="Arial" w:hAnsi="Arial" w:cs="Arial"/>
                <w:sz w:val="20"/>
                <w:szCs w:val="20"/>
              </w:rPr>
            </w:pPr>
            <w:r w:rsidRPr="00144AAA">
              <w:rPr>
                <w:rFonts w:ascii="Arial" w:hAnsi="Arial" w:cs="Arial"/>
                <w:sz w:val="20"/>
                <w:szCs w:val="20"/>
              </w:rPr>
              <w:t>No</w:t>
            </w:r>
          </w:p>
        </w:tc>
        <w:tc>
          <w:tcPr>
            <w:tcW w:w="1332" w:type="dxa"/>
            <w:hideMark/>
          </w:tcPr>
          <w:p w14:paraId="78652711" w14:textId="77777777" w:rsidR="00B4637E" w:rsidRDefault="00B4637E" w:rsidP="00B4637E">
            <w:pPr>
              <w:jc w:val="center"/>
              <w:rPr>
                <w:rFonts w:ascii="Arial" w:hAnsi="Arial" w:cs="Arial"/>
                <w:sz w:val="20"/>
                <w:szCs w:val="20"/>
              </w:rPr>
            </w:pPr>
          </w:p>
          <w:p w14:paraId="5B98BF8B" w14:textId="77777777" w:rsidR="00B4637E" w:rsidRPr="00144AAA" w:rsidRDefault="00B4637E" w:rsidP="00B4637E">
            <w:pPr>
              <w:jc w:val="center"/>
              <w:rPr>
                <w:rFonts w:ascii="Arial" w:hAnsi="Arial" w:cs="Arial"/>
                <w:sz w:val="20"/>
                <w:szCs w:val="20"/>
              </w:rPr>
            </w:pPr>
            <w:r w:rsidRPr="00144AAA">
              <w:rPr>
                <w:rFonts w:ascii="Arial" w:hAnsi="Arial" w:cs="Arial"/>
                <w:sz w:val="20"/>
                <w:szCs w:val="20"/>
              </w:rPr>
              <w:t>No</w:t>
            </w:r>
          </w:p>
        </w:tc>
        <w:tc>
          <w:tcPr>
            <w:tcW w:w="2880" w:type="dxa"/>
            <w:hideMark/>
          </w:tcPr>
          <w:p w14:paraId="0DF927D1" w14:textId="77777777" w:rsidR="00B4637E" w:rsidRDefault="00B4637E" w:rsidP="00B4637E">
            <w:pPr>
              <w:rPr>
                <w:rFonts w:ascii="Arial" w:hAnsi="Arial" w:cs="Arial"/>
                <w:sz w:val="20"/>
                <w:szCs w:val="20"/>
              </w:rPr>
            </w:pPr>
          </w:p>
          <w:p w14:paraId="2A793B1E" w14:textId="5B6ABF7D" w:rsidR="00B4637E" w:rsidRDefault="00B4637E" w:rsidP="00B4637E">
            <w:pPr>
              <w:rPr>
                <w:rFonts w:ascii="Arial" w:hAnsi="Arial" w:cs="Arial"/>
                <w:sz w:val="20"/>
                <w:szCs w:val="20"/>
              </w:rPr>
            </w:pPr>
            <w:r w:rsidRPr="00144AAA">
              <w:rPr>
                <w:rFonts w:ascii="Arial" w:hAnsi="Arial" w:cs="Arial"/>
                <w:sz w:val="20"/>
                <w:szCs w:val="20"/>
              </w:rPr>
              <w:t>No determination of the applicability of an EHB is necessary since this is not a mandated benefit for coverage</w:t>
            </w:r>
            <w:r>
              <w:rPr>
                <w:rFonts w:ascii="Arial" w:hAnsi="Arial" w:cs="Arial"/>
                <w:sz w:val="20"/>
                <w:szCs w:val="20"/>
              </w:rPr>
              <w:t>.</w:t>
            </w:r>
          </w:p>
          <w:p w14:paraId="554A5616" w14:textId="77777777" w:rsidR="00B4637E" w:rsidRDefault="00B4637E" w:rsidP="00B4637E">
            <w:pPr>
              <w:rPr>
                <w:rFonts w:ascii="Arial" w:hAnsi="Arial" w:cs="Arial"/>
                <w:sz w:val="20"/>
                <w:szCs w:val="20"/>
              </w:rPr>
            </w:pPr>
          </w:p>
          <w:p w14:paraId="573BA15F" w14:textId="77777777" w:rsidR="0043363E" w:rsidRDefault="0043363E" w:rsidP="00B4637E">
            <w:pPr>
              <w:rPr>
                <w:rFonts w:ascii="Arial" w:hAnsi="Arial" w:cs="Arial"/>
                <w:sz w:val="20"/>
                <w:szCs w:val="20"/>
              </w:rPr>
            </w:pPr>
          </w:p>
          <w:p w14:paraId="07DDBE9A" w14:textId="1FD55C1E" w:rsidR="0043363E" w:rsidRPr="00144AAA" w:rsidRDefault="0043363E" w:rsidP="00B4637E">
            <w:pPr>
              <w:rPr>
                <w:rFonts w:ascii="Arial" w:hAnsi="Arial" w:cs="Arial"/>
                <w:sz w:val="20"/>
                <w:szCs w:val="20"/>
              </w:rPr>
            </w:pPr>
          </w:p>
        </w:tc>
      </w:tr>
      <w:tr w:rsidR="00B4637E" w:rsidRPr="00144AAA" w14:paraId="7CC11ED1" w14:textId="77777777" w:rsidTr="009B59B9">
        <w:trPr>
          <w:trHeight w:val="1401"/>
        </w:trPr>
        <w:tc>
          <w:tcPr>
            <w:tcW w:w="1480" w:type="dxa"/>
            <w:noWrap/>
            <w:hideMark/>
          </w:tcPr>
          <w:p w14:paraId="68E1729B" w14:textId="77777777" w:rsidR="00B4637E" w:rsidRDefault="00B4637E" w:rsidP="00B4637E">
            <w:pPr>
              <w:rPr>
                <w:rFonts w:ascii="Arial" w:hAnsi="Arial" w:cs="Arial"/>
                <w:b/>
                <w:bCs/>
                <w:sz w:val="20"/>
                <w:szCs w:val="20"/>
              </w:rPr>
            </w:pPr>
          </w:p>
          <w:p w14:paraId="2BF6918E" w14:textId="7ECD588F" w:rsidR="00B4637E" w:rsidRPr="00144AAA" w:rsidRDefault="00B74FF9" w:rsidP="00B4637E">
            <w:pPr>
              <w:rPr>
                <w:rFonts w:ascii="Arial" w:hAnsi="Arial" w:cs="Arial"/>
                <w:b/>
                <w:bCs/>
                <w:sz w:val="20"/>
                <w:szCs w:val="20"/>
              </w:rPr>
            </w:pPr>
            <w:r>
              <w:rPr>
                <w:rFonts w:ascii="Arial" w:hAnsi="Arial" w:cs="Arial"/>
                <w:b/>
                <w:bCs/>
                <w:sz w:val="20"/>
                <w:szCs w:val="20"/>
              </w:rPr>
              <w:t xml:space="preserve"> </w:t>
            </w:r>
            <w:r w:rsidR="00B4637E" w:rsidRPr="00144AAA">
              <w:rPr>
                <w:rFonts w:ascii="Arial" w:hAnsi="Arial" w:cs="Arial"/>
                <w:b/>
                <w:bCs/>
                <w:sz w:val="20"/>
                <w:szCs w:val="20"/>
              </w:rPr>
              <w:t>SB 192</w:t>
            </w:r>
          </w:p>
        </w:tc>
        <w:tc>
          <w:tcPr>
            <w:tcW w:w="1394" w:type="dxa"/>
            <w:hideMark/>
          </w:tcPr>
          <w:p w14:paraId="2D3AC7FC" w14:textId="77777777" w:rsidR="00B4637E" w:rsidRDefault="00B4637E" w:rsidP="00B4637E">
            <w:pPr>
              <w:rPr>
                <w:rFonts w:ascii="Arial" w:hAnsi="Arial" w:cs="Arial"/>
                <w:sz w:val="20"/>
                <w:szCs w:val="20"/>
              </w:rPr>
            </w:pPr>
          </w:p>
          <w:p w14:paraId="4316C864" w14:textId="77777777" w:rsidR="00B4637E" w:rsidRPr="00144AAA" w:rsidRDefault="00B4637E" w:rsidP="00B4637E">
            <w:pPr>
              <w:rPr>
                <w:rFonts w:ascii="Arial" w:hAnsi="Arial" w:cs="Arial"/>
                <w:sz w:val="20"/>
                <w:szCs w:val="20"/>
              </w:rPr>
            </w:pPr>
            <w:r w:rsidRPr="00144AAA">
              <w:rPr>
                <w:rFonts w:ascii="Arial" w:hAnsi="Arial" w:cs="Arial"/>
                <w:sz w:val="20"/>
                <w:szCs w:val="20"/>
              </w:rPr>
              <w:t>Physical therapist office visit</w:t>
            </w:r>
          </w:p>
        </w:tc>
        <w:tc>
          <w:tcPr>
            <w:tcW w:w="1801" w:type="dxa"/>
            <w:hideMark/>
          </w:tcPr>
          <w:p w14:paraId="5C1286DC" w14:textId="77777777" w:rsidR="00B4637E" w:rsidRDefault="00B4637E" w:rsidP="00B4637E">
            <w:pPr>
              <w:rPr>
                <w:rFonts w:ascii="Arial" w:hAnsi="Arial" w:cs="Arial"/>
                <w:sz w:val="20"/>
                <w:szCs w:val="20"/>
              </w:rPr>
            </w:pPr>
          </w:p>
          <w:p w14:paraId="4DCC7A4A" w14:textId="25AA9560" w:rsidR="00B4637E" w:rsidRDefault="00B4637E" w:rsidP="00B4637E">
            <w:pPr>
              <w:rPr>
                <w:rFonts w:ascii="Arial" w:hAnsi="Arial" w:cs="Arial"/>
                <w:sz w:val="20"/>
                <w:szCs w:val="20"/>
              </w:rPr>
            </w:pPr>
            <w:r w:rsidRPr="00144AAA">
              <w:rPr>
                <w:rFonts w:ascii="Arial" w:hAnsi="Arial" w:cs="Arial"/>
                <w:sz w:val="20"/>
                <w:szCs w:val="20"/>
              </w:rPr>
              <w:t xml:space="preserve">Cost-sharing for physical therapist office visit cannot exceed the cost-sharing imposed for a physician or osteopath office visit. </w:t>
            </w:r>
          </w:p>
          <w:p w14:paraId="1C3151E1" w14:textId="2B1EDB96" w:rsidR="0043363E" w:rsidRDefault="0043363E" w:rsidP="00B4637E">
            <w:pPr>
              <w:rPr>
                <w:rFonts w:ascii="Arial" w:hAnsi="Arial" w:cs="Arial"/>
                <w:sz w:val="20"/>
                <w:szCs w:val="20"/>
              </w:rPr>
            </w:pPr>
          </w:p>
          <w:p w14:paraId="387C56F4" w14:textId="77777777" w:rsidR="00B4637E" w:rsidRPr="00144AAA" w:rsidRDefault="00B4637E" w:rsidP="00B4637E">
            <w:pPr>
              <w:rPr>
                <w:rFonts w:ascii="Arial" w:hAnsi="Arial" w:cs="Arial"/>
                <w:sz w:val="20"/>
                <w:szCs w:val="20"/>
              </w:rPr>
            </w:pPr>
          </w:p>
        </w:tc>
        <w:tc>
          <w:tcPr>
            <w:tcW w:w="1548" w:type="dxa"/>
            <w:hideMark/>
          </w:tcPr>
          <w:p w14:paraId="1520A1F7" w14:textId="77777777" w:rsidR="00B4637E" w:rsidRDefault="00B4637E" w:rsidP="00B4637E">
            <w:pPr>
              <w:jc w:val="center"/>
              <w:rPr>
                <w:rFonts w:ascii="Arial" w:hAnsi="Arial" w:cs="Arial"/>
                <w:sz w:val="20"/>
                <w:szCs w:val="20"/>
              </w:rPr>
            </w:pPr>
          </w:p>
          <w:p w14:paraId="1FF2339C" w14:textId="77777777" w:rsidR="00B4637E" w:rsidRPr="00144AAA" w:rsidRDefault="00B4637E" w:rsidP="00B4637E">
            <w:pPr>
              <w:jc w:val="center"/>
              <w:rPr>
                <w:rFonts w:ascii="Arial" w:hAnsi="Arial" w:cs="Arial"/>
                <w:sz w:val="20"/>
                <w:szCs w:val="20"/>
              </w:rPr>
            </w:pPr>
            <w:r w:rsidRPr="00144AAA">
              <w:rPr>
                <w:rFonts w:ascii="Arial" w:hAnsi="Arial" w:cs="Arial"/>
                <w:sz w:val="20"/>
                <w:szCs w:val="20"/>
              </w:rPr>
              <w:t>No</w:t>
            </w:r>
          </w:p>
        </w:tc>
        <w:tc>
          <w:tcPr>
            <w:tcW w:w="1332" w:type="dxa"/>
            <w:hideMark/>
          </w:tcPr>
          <w:p w14:paraId="29B2A7F6" w14:textId="77777777" w:rsidR="00B4637E" w:rsidRDefault="00B4637E" w:rsidP="00B4637E">
            <w:pPr>
              <w:jc w:val="center"/>
              <w:rPr>
                <w:rFonts w:ascii="Arial" w:hAnsi="Arial" w:cs="Arial"/>
                <w:sz w:val="20"/>
                <w:szCs w:val="20"/>
              </w:rPr>
            </w:pPr>
          </w:p>
          <w:p w14:paraId="45E25C5D" w14:textId="77777777" w:rsidR="00B4637E" w:rsidRPr="00144AAA" w:rsidRDefault="00B4637E" w:rsidP="00B4637E">
            <w:pPr>
              <w:jc w:val="center"/>
              <w:rPr>
                <w:rFonts w:ascii="Arial" w:hAnsi="Arial" w:cs="Arial"/>
                <w:sz w:val="20"/>
                <w:szCs w:val="20"/>
              </w:rPr>
            </w:pPr>
            <w:r w:rsidRPr="00144AAA">
              <w:rPr>
                <w:rFonts w:ascii="Arial" w:hAnsi="Arial" w:cs="Arial"/>
                <w:sz w:val="20"/>
                <w:szCs w:val="20"/>
              </w:rPr>
              <w:t>No</w:t>
            </w:r>
          </w:p>
        </w:tc>
        <w:tc>
          <w:tcPr>
            <w:tcW w:w="2880" w:type="dxa"/>
            <w:hideMark/>
          </w:tcPr>
          <w:p w14:paraId="2C9F3C29" w14:textId="77777777" w:rsidR="007351BF" w:rsidRDefault="007351BF" w:rsidP="00B4637E">
            <w:pPr>
              <w:rPr>
                <w:rFonts w:ascii="Arial" w:hAnsi="Arial" w:cs="Arial"/>
                <w:sz w:val="20"/>
                <w:szCs w:val="20"/>
              </w:rPr>
            </w:pPr>
          </w:p>
          <w:p w14:paraId="49D37585" w14:textId="62F00290" w:rsidR="00B4637E" w:rsidRPr="000F5A5A" w:rsidRDefault="00B4637E" w:rsidP="00B4637E">
            <w:r w:rsidRPr="00144AAA">
              <w:rPr>
                <w:rFonts w:ascii="Arial" w:hAnsi="Arial" w:cs="Arial"/>
                <w:sz w:val="20"/>
                <w:szCs w:val="20"/>
              </w:rPr>
              <w:t>N</w:t>
            </w:r>
            <w:r w:rsidRPr="000F5A5A">
              <w:rPr>
                <w:rFonts w:ascii="Arial" w:hAnsi="Arial" w:cs="Arial"/>
                <w:sz w:val="20"/>
                <w:szCs w:val="20"/>
              </w:rPr>
              <w:t>o determination of the applicability of an EHB is necessary since this is not a mandated benefit for coverage.</w:t>
            </w:r>
          </w:p>
          <w:p w14:paraId="0C2B8605" w14:textId="2C75AB1E" w:rsidR="00B4637E" w:rsidRPr="00144AAA" w:rsidRDefault="00B4637E" w:rsidP="00B4637E">
            <w:pPr>
              <w:rPr>
                <w:rFonts w:ascii="Arial" w:hAnsi="Arial" w:cs="Arial"/>
                <w:sz w:val="20"/>
                <w:szCs w:val="20"/>
              </w:rPr>
            </w:pPr>
          </w:p>
        </w:tc>
      </w:tr>
      <w:tr w:rsidR="00B4637E" w:rsidRPr="00144AAA" w14:paraId="31F9EBA2" w14:textId="77777777" w:rsidTr="009B59B9">
        <w:trPr>
          <w:trHeight w:val="3480"/>
        </w:trPr>
        <w:tc>
          <w:tcPr>
            <w:tcW w:w="1480" w:type="dxa"/>
            <w:noWrap/>
            <w:hideMark/>
          </w:tcPr>
          <w:p w14:paraId="17C83030" w14:textId="77777777" w:rsidR="00B4637E" w:rsidRDefault="00B4637E" w:rsidP="00B4637E">
            <w:pPr>
              <w:rPr>
                <w:rFonts w:ascii="Arial" w:hAnsi="Arial" w:cs="Arial"/>
                <w:b/>
                <w:bCs/>
                <w:sz w:val="20"/>
                <w:szCs w:val="20"/>
              </w:rPr>
            </w:pPr>
          </w:p>
          <w:p w14:paraId="75ED6971" w14:textId="26CB5C7D" w:rsidR="00B4637E" w:rsidRPr="00144AAA" w:rsidRDefault="00B74FF9" w:rsidP="00B4637E">
            <w:pPr>
              <w:rPr>
                <w:rFonts w:ascii="Arial" w:hAnsi="Arial" w:cs="Arial"/>
                <w:b/>
                <w:bCs/>
                <w:sz w:val="20"/>
                <w:szCs w:val="20"/>
              </w:rPr>
            </w:pPr>
            <w:r>
              <w:rPr>
                <w:rFonts w:ascii="Arial" w:hAnsi="Arial" w:cs="Arial"/>
                <w:b/>
                <w:bCs/>
                <w:sz w:val="20"/>
                <w:szCs w:val="20"/>
              </w:rPr>
              <w:t xml:space="preserve"> </w:t>
            </w:r>
            <w:r w:rsidR="00B4637E" w:rsidRPr="00144AAA">
              <w:rPr>
                <w:rFonts w:ascii="Arial" w:hAnsi="Arial" w:cs="Arial"/>
                <w:b/>
                <w:bCs/>
                <w:sz w:val="20"/>
                <w:szCs w:val="20"/>
              </w:rPr>
              <w:t>SB 423</w:t>
            </w:r>
          </w:p>
        </w:tc>
        <w:tc>
          <w:tcPr>
            <w:tcW w:w="1394" w:type="dxa"/>
            <w:hideMark/>
          </w:tcPr>
          <w:p w14:paraId="2FF3033F" w14:textId="77777777" w:rsidR="00B4637E" w:rsidRDefault="00B4637E" w:rsidP="00B4637E">
            <w:pPr>
              <w:rPr>
                <w:rFonts w:ascii="Arial" w:hAnsi="Arial" w:cs="Arial"/>
                <w:sz w:val="20"/>
                <w:szCs w:val="20"/>
              </w:rPr>
            </w:pPr>
          </w:p>
          <w:p w14:paraId="18D050A5" w14:textId="77777777" w:rsidR="00B4637E" w:rsidRPr="00144AAA" w:rsidRDefault="00B4637E" w:rsidP="00B4637E">
            <w:pPr>
              <w:rPr>
                <w:rFonts w:ascii="Arial" w:hAnsi="Arial" w:cs="Arial"/>
                <w:sz w:val="20"/>
                <w:szCs w:val="20"/>
              </w:rPr>
            </w:pPr>
            <w:r w:rsidRPr="00144AAA">
              <w:rPr>
                <w:rFonts w:ascii="Arial" w:hAnsi="Arial" w:cs="Arial"/>
                <w:sz w:val="20"/>
                <w:szCs w:val="20"/>
              </w:rPr>
              <w:t>Hearing aids, coverage for minors</w:t>
            </w:r>
          </w:p>
        </w:tc>
        <w:tc>
          <w:tcPr>
            <w:tcW w:w="1801" w:type="dxa"/>
            <w:hideMark/>
          </w:tcPr>
          <w:p w14:paraId="0AB28BBB" w14:textId="77777777" w:rsidR="00B4637E" w:rsidRDefault="00B4637E" w:rsidP="00B4637E">
            <w:pPr>
              <w:rPr>
                <w:rFonts w:ascii="Arial" w:hAnsi="Arial" w:cs="Arial"/>
                <w:sz w:val="20"/>
                <w:szCs w:val="20"/>
              </w:rPr>
            </w:pPr>
          </w:p>
          <w:p w14:paraId="7EA74AD7" w14:textId="77777777" w:rsidR="00B4637E" w:rsidRPr="00144AAA" w:rsidRDefault="00B4637E" w:rsidP="00B4637E">
            <w:pPr>
              <w:rPr>
                <w:rFonts w:ascii="Arial" w:hAnsi="Arial" w:cs="Arial"/>
                <w:sz w:val="20"/>
                <w:szCs w:val="20"/>
              </w:rPr>
            </w:pPr>
            <w:r w:rsidRPr="00144AAA">
              <w:rPr>
                <w:rFonts w:ascii="Arial" w:hAnsi="Arial" w:cs="Arial"/>
                <w:sz w:val="20"/>
                <w:szCs w:val="20"/>
              </w:rPr>
              <w:t>Provides for coverage of hearing aids and related services for children 18 years of age or younger without copayment or fee.</w:t>
            </w:r>
          </w:p>
        </w:tc>
        <w:tc>
          <w:tcPr>
            <w:tcW w:w="1548" w:type="dxa"/>
            <w:hideMark/>
          </w:tcPr>
          <w:p w14:paraId="72EF0600" w14:textId="77777777" w:rsidR="00B4637E" w:rsidRDefault="00B4637E" w:rsidP="003C6876">
            <w:pPr>
              <w:jc w:val="center"/>
              <w:rPr>
                <w:rFonts w:ascii="Arial" w:hAnsi="Arial" w:cs="Arial"/>
                <w:sz w:val="20"/>
                <w:szCs w:val="20"/>
              </w:rPr>
            </w:pPr>
          </w:p>
          <w:p w14:paraId="56C61D6B" w14:textId="3001E423" w:rsidR="00B4637E" w:rsidRPr="00144AAA" w:rsidRDefault="00B4637E" w:rsidP="003C6876">
            <w:pPr>
              <w:jc w:val="center"/>
              <w:rPr>
                <w:rFonts w:ascii="Arial" w:hAnsi="Arial" w:cs="Arial"/>
                <w:sz w:val="20"/>
                <w:szCs w:val="20"/>
              </w:rPr>
            </w:pPr>
            <w:r w:rsidRPr="00144AAA">
              <w:rPr>
                <w:rFonts w:ascii="Arial" w:hAnsi="Arial" w:cs="Arial"/>
                <w:sz w:val="20"/>
                <w:szCs w:val="20"/>
              </w:rPr>
              <w:t>Yes</w:t>
            </w:r>
            <w:r>
              <w:rPr>
                <w:rFonts w:ascii="Arial" w:hAnsi="Arial" w:cs="Arial"/>
                <w:sz w:val="20"/>
                <w:szCs w:val="20"/>
              </w:rPr>
              <w:t xml:space="preserve"> – Benefit</w:t>
            </w:r>
          </w:p>
        </w:tc>
        <w:tc>
          <w:tcPr>
            <w:tcW w:w="1332" w:type="dxa"/>
            <w:hideMark/>
          </w:tcPr>
          <w:p w14:paraId="09636F9C" w14:textId="77777777" w:rsidR="00B4637E" w:rsidRDefault="00B4637E" w:rsidP="003C6876">
            <w:pPr>
              <w:jc w:val="center"/>
              <w:rPr>
                <w:rFonts w:ascii="Arial" w:hAnsi="Arial" w:cs="Arial"/>
                <w:sz w:val="20"/>
                <w:szCs w:val="20"/>
              </w:rPr>
            </w:pPr>
          </w:p>
          <w:p w14:paraId="46BD7010" w14:textId="77777777" w:rsidR="00B4637E" w:rsidRPr="00144AAA" w:rsidRDefault="00B4637E" w:rsidP="003C6876">
            <w:pPr>
              <w:jc w:val="center"/>
              <w:rPr>
                <w:rFonts w:ascii="Arial" w:hAnsi="Arial" w:cs="Arial"/>
                <w:sz w:val="20"/>
                <w:szCs w:val="20"/>
              </w:rPr>
            </w:pPr>
            <w:r w:rsidRPr="00144AAA">
              <w:rPr>
                <w:rFonts w:ascii="Arial" w:hAnsi="Arial" w:cs="Arial"/>
                <w:sz w:val="20"/>
                <w:szCs w:val="20"/>
              </w:rPr>
              <w:t>Yes</w:t>
            </w:r>
          </w:p>
        </w:tc>
        <w:tc>
          <w:tcPr>
            <w:tcW w:w="2880" w:type="dxa"/>
            <w:hideMark/>
          </w:tcPr>
          <w:p w14:paraId="6C80FF16" w14:textId="77777777" w:rsidR="00B4637E" w:rsidRDefault="00B4637E" w:rsidP="00B4637E">
            <w:pPr>
              <w:rPr>
                <w:rFonts w:ascii="Arial" w:hAnsi="Arial" w:cs="Arial"/>
                <w:sz w:val="20"/>
                <w:szCs w:val="20"/>
              </w:rPr>
            </w:pPr>
          </w:p>
          <w:p w14:paraId="2BC6D0B3" w14:textId="3F311B51" w:rsidR="00B4637E" w:rsidRDefault="00B4637E" w:rsidP="00B4637E">
            <w:pPr>
              <w:rPr>
                <w:rFonts w:ascii="Arial" w:hAnsi="Arial" w:cs="Arial"/>
                <w:sz w:val="20"/>
                <w:szCs w:val="20"/>
              </w:rPr>
            </w:pPr>
            <w:r w:rsidRPr="00DE3AC2">
              <w:rPr>
                <w:rFonts w:ascii="Arial" w:hAnsi="Arial" w:cs="Arial"/>
                <w:sz w:val="20"/>
                <w:szCs w:val="20"/>
              </w:rPr>
              <w:t>Coverage for this benefit is not an Essential Health Benefit (EHB) in the current EHB Benchmark Plan.  As such, federal law would require the state to make defrayal payments for the cost of this benefit as it applies to qualified health plans (QHP</w:t>
            </w:r>
            <w:r w:rsidR="00B37E99" w:rsidRPr="00DE3AC2">
              <w:rPr>
                <w:rFonts w:ascii="Arial" w:hAnsi="Arial" w:cs="Arial"/>
                <w:sz w:val="20"/>
                <w:szCs w:val="20"/>
              </w:rPr>
              <w:t>s</w:t>
            </w:r>
            <w:r w:rsidRPr="00DE3AC2">
              <w:rPr>
                <w:rFonts w:ascii="Arial" w:hAnsi="Arial" w:cs="Arial"/>
                <w:sz w:val="20"/>
                <w:szCs w:val="20"/>
              </w:rPr>
              <w:t xml:space="preserve">) offered through the </w:t>
            </w:r>
            <w:r w:rsidR="007E3346" w:rsidRPr="00DE3AC2">
              <w:rPr>
                <w:rFonts w:ascii="Arial" w:hAnsi="Arial" w:cs="Arial"/>
                <w:sz w:val="20"/>
                <w:szCs w:val="20"/>
              </w:rPr>
              <w:t xml:space="preserve">state </w:t>
            </w:r>
            <w:r w:rsidRPr="00DE3AC2">
              <w:rPr>
                <w:rFonts w:ascii="Arial" w:hAnsi="Arial" w:cs="Arial"/>
                <w:sz w:val="20"/>
                <w:szCs w:val="20"/>
              </w:rPr>
              <w:t xml:space="preserve">health benefit exchange (see below for further detail).  Importantly, note that under Virginia law (§ 38.2-6506 A 1 of the Code), QHPs </w:t>
            </w:r>
            <w:r w:rsidRPr="000F5A5A">
              <w:rPr>
                <w:rFonts w:ascii="Arial" w:hAnsi="Arial" w:cs="Arial"/>
                <w:sz w:val="20"/>
                <w:szCs w:val="20"/>
              </w:rPr>
              <w:t xml:space="preserve">are currently prohibited from providing benefits in addition to EHB; therefore, there would be no defrayal cost to the state so long as QHPs do not provide this mandate. The BOI is concerned, however, that the provisions of this statute may run afoul of ACA requirements (see below for further detail). </w:t>
            </w:r>
            <w:r>
              <w:rPr>
                <w:rFonts w:ascii="Arial" w:hAnsi="Arial" w:cs="Arial"/>
                <w:sz w:val="20"/>
                <w:szCs w:val="20"/>
              </w:rPr>
              <w:t xml:space="preserve">The Bureau’s portion of the </w:t>
            </w:r>
            <w:r w:rsidRPr="00144AAA">
              <w:rPr>
                <w:rFonts w:ascii="Arial" w:hAnsi="Arial" w:cs="Arial"/>
                <w:sz w:val="20"/>
                <w:szCs w:val="20"/>
              </w:rPr>
              <w:t xml:space="preserve"> 2020 </w:t>
            </w:r>
            <w:r>
              <w:rPr>
                <w:rFonts w:ascii="Arial" w:hAnsi="Arial" w:cs="Arial"/>
                <w:sz w:val="20"/>
                <w:szCs w:val="20"/>
              </w:rPr>
              <w:t xml:space="preserve">joint JLARC and Bureau </w:t>
            </w:r>
            <w:r w:rsidRPr="00144AAA">
              <w:rPr>
                <w:rFonts w:ascii="Arial" w:hAnsi="Arial" w:cs="Arial"/>
                <w:sz w:val="20"/>
                <w:szCs w:val="20"/>
              </w:rPr>
              <w:t xml:space="preserve">review </w:t>
            </w:r>
            <w:r>
              <w:rPr>
                <w:rFonts w:ascii="Arial" w:hAnsi="Arial" w:cs="Arial"/>
                <w:sz w:val="20"/>
                <w:szCs w:val="20"/>
              </w:rPr>
              <w:t xml:space="preserve">highlighted these questions about </w:t>
            </w:r>
            <w:r w:rsidRPr="00144AAA">
              <w:rPr>
                <w:rFonts w:ascii="Arial" w:hAnsi="Arial" w:cs="Arial"/>
                <w:sz w:val="20"/>
                <w:szCs w:val="20"/>
              </w:rPr>
              <w:t>defrayal cost to the state</w:t>
            </w:r>
            <w:r>
              <w:rPr>
                <w:rFonts w:ascii="Arial" w:hAnsi="Arial" w:cs="Arial"/>
                <w:sz w:val="20"/>
                <w:szCs w:val="20"/>
              </w:rPr>
              <w:t>.  JLARC’s portion of the review determined</w:t>
            </w:r>
            <w:r w:rsidRPr="00144AAA">
              <w:rPr>
                <w:rFonts w:ascii="Arial" w:hAnsi="Arial" w:cs="Arial"/>
                <w:sz w:val="20"/>
                <w:szCs w:val="20"/>
              </w:rPr>
              <w:t xml:space="preserve"> there would be a fiscal impact. SB 423 also applies to fully</w:t>
            </w:r>
            <w:r>
              <w:rPr>
                <w:rFonts w:ascii="Arial" w:hAnsi="Arial" w:cs="Arial"/>
                <w:sz w:val="20"/>
                <w:szCs w:val="20"/>
              </w:rPr>
              <w:t xml:space="preserve"> </w:t>
            </w:r>
            <w:r w:rsidRPr="00144AAA">
              <w:rPr>
                <w:rFonts w:ascii="Arial" w:hAnsi="Arial" w:cs="Arial"/>
                <w:sz w:val="20"/>
                <w:szCs w:val="20"/>
              </w:rPr>
              <w:t>insured large group plans resulting in a cost to the state employee health plans.  Appropriation Act language stipulates SB 423 will not go into effect on July 1, 2021 if it is determined that the bill has a fiscal impact.</w:t>
            </w:r>
          </w:p>
          <w:p w14:paraId="0541377A" w14:textId="77777777" w:rsidR="00B4637E" w:rsidRPr="00144AAA" w:rsidRDefault="00B4637E" w:rsidP="00B4637E">
            <w:pPr>
              <w:rPr>
                <w:rFonts w:ascii="Arial" w:hAnsi="Arial" w:cs="Arial"/>
                <w:sz w:val="20"/>
                <w:szCs w:val="20"/>
              </w:rPr>
            </w:pPr>
          </w:p>
        </w:tc>
      </w:tr>
      <w:tr w:rsidR="00B4637E" w:rsidRPr="00144AAA" w14:paraId="04434C8B" w14:textId="77777777" w:rsidTr="00456250">
        <w:trPr>
          <w:trHeight w:val="7280"/>
        </w:trPr>
        <w:tc>
          <w:tcPr>
            <w:tcW w:w="1480" w:type="dxa"/>
            <w:noWrap/>
            <w:hideMark/>
          </w:tcPr>
          <w:p w14:paraId="5BD1750D" w14:textId="77777777" w:rsidR="00B4637E" w:rsidRDefault="00B4637E" w:rsidP="00B4637E">
            <w:pPr>
              <w:rPr>
                <w:rFonts w:ascii="Arial" w:hAnsi="Arial" w:cs="Arial"/>
                <w:b/>
                <w:bCs/>
                <w:sz w:val="20"/>
                <w:szCs w:val="20"/>
              </w:rPr>
            </w:pPr>
          </w:p>
          <w:p w14:paraId="0D844D57" w14:textId="62A7E8AC" w:rsidR="00B4637E" w:rsidRPr="00144AAA" w:rsidRDefault="00B74FF9" w:rsidP="00B4637E">
            <w:pPr>
              <w:rPr>
                <w:rFonts w:ascii="Arial" w:hAnsi="Arial" w:cs="Arial"/>
                <w:b/>
                <w:bCs/>
                <w:sz w:val="20"/>
                <w:szCs w:val="20"/>
              </w:rPr>
            </w:pPr>
            <w:r>
              <w:rPr>
                <w:rFonts w:ascii="Arial" w:hAnsi="Arial" w:cs="Arial"/>
                <w:b/>
                <w:bCs/>
                <w:sz w:val="20"/>
                <w:szCs w:val="20"/>
              </w:rPr>
              <w:t xml:space="preserve"> </w:t>
            </w:r>
            <w:r w:rsidR="00B4637E" w:rsidRPr="00144AAA">
              <w:rPr>
                <w:rFonts w:ascii="Arial" w:hAnsi="Arial" w:cs="Arial"/>
                <w:b/>
                <w:bCs/>
                <w:sz w:val="20"/>
                <w:szCs w:val="20"/>
              </w:rPr>
              <w:t>SB 1086</w:t>
            </w:r>
          </w:p>
        </w:tc>
        <w:tc>
          <w:tcPr>
            <w:tcW w:w="1394" w:type="dxa"/>
            <w:hideMark/>
          </w:tcPr>
          <w:p w14:paraId="2797BF60" w14:textId="77777777" w:rsidR="00B4637E" w:rsidRDefault="00B4637E" w:rsidP="00B4637E">
            <w:pPr>
              <w:rPr>
                <w:rFonts w:ascii="Arial" w:hAnsi="Arial" w:cs="Arial"/>
                <w:sz w:val="20"/>
                <w:szCs w:val="20"/>
              </w:rPr>
            </w:pPr>
          </w:p>
          <w:p w14:paraId="03958545" w14:textId="77777777" w:rsidR="00B4637E" w:rsidRPr="00144AAA" w:rsidRDefault="00B4637E" w:rsidP="00B4637E">
            <w:pPr>
              <w:rPr>
                <w:rFonts w:ascii="Arial" w:hAnsi="Arial" w:cs="Arial"/>
                <w:sz w:val="20"/>
                <w:szCs w:val="20"/>
              </w:rPr>
            </w:pPr>
            <w:r w:rsidRPr="00144AAA">
              <w:rPr>
                <w:rFonts w:ascii="Arial" w:hAnsi="Arial" w:cs="Arial"/>
                <w:sz w:val="20"/>
                <w:szCs w:val="20"/>
              </w:rPr>
              <w:t>Infertility treatment, coverage for.</w:t>
            </w:r>
          </w:p>
        </w:tc>
        <w:tc>
          <w:tcPr>
            <w:tcW w:w="1801" w:type="dxa"/>
            <w:hideMark/>
          </w:tcPr>
          <w:p w14:paraId="1A264ECF" w14:textId="77777777" w:rsidR="00B4637E" w:rsidRDefault="00B4637E" w:rsidP="00B4637E">
            <w:pPr>
              <w:rPr>
                <w:rFonts w:ascii="Arial" w:hAnsi="Arial" w:cs="Arial"/>
                <w:sz w:val="20"/>
                <w:szCs w:val="20"/>
              </w:rPr>
            </w:pPr>
          </w:p>
          <w:p w14:paraId="4AAA0B27" w14:textId="77777777" w:rsidR="00B4637E" w:rsidRDefault="00B4637E" w:rsidP="00B4637E">
            <w:pPr>
              <w:rPr>
                <w:rFonts w:ascii="Arial" w:hAnsi="Arial" w:cs="Arial"/>
                <w:sz w:val="20"/>
                <w:szCs w:val="20"/>
              </w:rPr>
            </w:pPr>
            <w:r w:rsidRPr="00144AAA">
              <w:rPr>
                <w:rFonts w:ascii="Arial" w:hAnsi="Arial" w:cs="Arial"/>
                <w:sz w:val="20"/>
                <w:szCs w:val="20"/>
              </w:rPr>
              <w:t>QHPs required to provide certain coverages for infertility treatments that are excluded services in the Benchmark Plans.</w:t>
            </w:r>
          </w:p>
          <w:p w14:paraId="787ABA98" w14:textId="77777777" w:rsidR="00B4637E" w:rsidRPr="00144AAA" w:rsidRDefault="00B4637E" w:rsidP="00B4637E">
            <w:pPr>
              <w:rPr>
                <w:rFonts w:ascii="Arial" w:hAnsi="Arial" w:cs="Arial"/>
                <w:sz w:val="20"/>
                <w:szCs w:val="20"/>
              </w:rPr>
            </w:pPr>
          </w:p>
        </w:tc>
        <w:tc>
          <w:tcPr>
            <w:tcW w:w="1548" w:type="dxa"/>
            <w:hideMark/>
          </w:tcPr>
          <w:p w14:paraId="17555AD9" w14:textId="77777777" w:rsidR="00B4637E" w:rsidRDefault="00B4637E" w:rsidP="003C6876">
            <w:pPr>
              <w:jc w:val="center"/>
              <w:rPr>
                <w:rFonts w:ascii="Arial" w:hAnsi="Arial" w:cs="Arial"/>
                <w:sz w:val="20"/>
                <w:szCs w:val="20"/>
              </w:rPr>
            </w:pPr>
          </w:p>
          <w:p w14:paraId="408AF399" w14:textId="2D45D44A" w:rsidR="00B4637E" w:rsidRPr="00144AAA" w:rsidRDefault="00B4637E" w:rsidP="003C6876">
            <w:pPr>
              <w:jc w:val="center"/>
              <w:rPr>
                <w:rFonts w:ascii="Arial" w:hAnsi="Arial" w:cs="Arial"/>
                <w:sz w:val="20"/>
                <w:szCs w:val="20"/>
              </w:rPr>
            </w:pPr>
            <w:r w:rsidRPr="00144AAA">
              <w:rPr>
                <w:rFonts w:ascii="Arial" w:hAnsi="Arial" w:cs="Arial"/>
                <w:sz w:val="20"/>
                <w:szCs w:val="20"/>
              </w:rPr>
              <w:t>Yes</w:t>
            </w:r>
            <w:r>
              <w:rPr>
                <w:rFonts w:ascii="Arial" w:hAnsi="Arial" w:cs="Arial"/>
                <w:sz w:val="20"/>
                <w:szCs w:val="20"/>
              </w:rPr>
              <w:t xml:space="preserve"> - Benefit</w:t>
            </w:r>
          </w:p>
        </w:tc>
        <w:tc>
          <w:tcPr>
            <w:tcW w:w="1332" w:type="dxa"/>
            <w:hideMark/>
          </w:tcPr>
          <w:p w14:paraId="2DB01A56" w14:textId="77777777" w:rsidR="00B4637E" w:rsidRDefault="00B4637E" w:rsidP="003C6876">
            <w:pPr>
              <w:jc w:val="center"/>
              <w:rPr>
                <w:rFonts w:ascii="Arial" w:hAnsi="Arial" w:cs="Arial"/>
                <w:sz w:val="20"/>
                <w:szCs w:val="20"/>
              </w:rPr>
            </w:pPr>
          </w:p>
          <w:p w14:paraId="57EF2258" w14:textId="77777777" w:rsidR="00B4637E" w:rsidRPr="00144AAA" w:rsidRDefault="00B4637E" w:rsidP="003C6876">
            <w:pPr>
              <w:jc w:val="center"/>
              <w:rPr>
                <w:rFonts w:ascii="Arial" w:hAnsi="Arial" w:cs="Arial"/>
                <w:sz w:val="20"/>
                <w:szCs w:val="20"/>
              </w:rPr>
            </w:pPr>
            <w:r w:rsidRPr="00144AAA">
              <w:rPr>
                <w:rFonts w:ascii="Arial" w:hAnsi="Arial" w:cs="Arial"/>
                <w:sz w:val="20"/>
                <w:szCs w:val="20"/>
              </w:rPr>
              <w:t>Yes</w:t>
            </w:r>
          </w:p>
        </w:tc>
        <w:tc>
          <w:tcPr>
            <w:tcW w:w="2880" w:type="dxa"/>
            <w:hideMark/>
          </w:tcPr>
          <w:p w14:paraId="08D84A8C" w14:textId="77777777" w:rsidR="0051139E" w:rsidRDefault="0051139E" w:rsidP="00B4637E">
            <w:pPr>
              <w:rPr>
                <w:rFonts w:ascii="Arial" w:hAnsi="Arial" w:cs="Arial"/>
                <w:sz w:val="20"/>
                <w:szCs w:val="20"/>
              </w:rPr>
            </w:pPr>
          </w:p>
          <w:p w14:paraId="454BB3F3" w14:textId="04EFFA27" w:rsidR="00B4637E" w:rsidRPr="00144AAA" w:rsidRDefault="00B4637E" w:rsidP="00B4637E">
            <w:pPr>
              <w:rPr>
                <w:rFonts w:ascii="Arial" w:hAnsi="Arial" w:cs="Arial"/>
                <w:sz w:val="20"/>
                <w:szCs w:val="20"/>
              </w:rPr>
            </w:pPr>
            <w:r w:rsidRPr="00DE3AC2">
              <w:rPr>
                <w:rFonts w:ascii="Arial" w:hAnsi="Arial" w:cs="Arial"/>
                <w:sz w:val="20"/>
                <w:szCs w:val="20"/>
              </w:rPr>
              <w:t>Coverage for this benefit is not an Essential Health Benefit (EHB) in the current EHB Benchmark Plan.  As such, federal law would require the state to make defrayal payments for the cost of this benefit as it applies to qualified health plans (QHP</w:t>
            </w:r>
            <w:r w:rsidR="00B37E99" w:rsidRPr="00DE3AC2">
              <w:rPr>
                <w:rFonts w:ascii="Arial" w:hAnsi="Arial" w:cs="Arial"/>
                <w:sz w:val="20"/>
                <w:szCs w:val="20"/>
              </w:rPr>
              <w:t>s</w:t>
            </w:r>
            <w:r w:rsidRPr="00DE3AC2">
              <w:rPr>
                <w:rFonts w:ascii="Arial" w:hAnsi="Arial" w:cs="Arial"/>
                <w:sz w:val="20"/>
                <w:szCs w:val="20"/>
              </w:rPr>
              <w:t xml:space="preserve">) offered through the </w:t>
            </w:r>
            <w:r w:rsidR="00B37E99" w:rsidRPr="00DE3AC2">
              <w:rPr>
                <w:rFonts w:ascii="Arial" w:hAnsi="Arial" w:cs="Arial"/>
                <w:sz w:val="20"/>
                <w:szCs w:val="20"/>
              </w:rPr>
              <w:t xml:space="preserve">state </w:t>
            </w:r>
            <w:r w:rsidRPr="00DE3AC2">
              <w:rPr>
                <w:rFonts w:ascii="Arial" w:hAnsi="Arial" w:cs="Arial"/>
                <w:sz w:val="20"/>
                <w:szCs w:val="20"/>
              </w:rPr>
              <w:t>health benefit exchange (see below for further detail).  Importantly, note that under Virginia law (§ 38.2-6506 A 1 of the Code), QHPs are currently prohibited from providing benefits in addition to EHB; therefore, there would be no defrayal cost to the state so long as QHPs do not provide this mandate. The BOI is concerned, however, that the provisions of this statute may run afoul of ACA requirements (see below for further detail).</w:t>
            </w:r>
          </w:p>
        </w:tc>
      </w:tr>
    </w:tbl>
    <w:p w14:paraId="24DC2D1D" w14:textId="77777777" w:rsidR="00E83016" w:rsidRPr="00144AAA" w:rsidRDefault="00E83016">
      <w:pPr>
        <w:rPr>
          <w:rFonts w:ascii="Arial" w:hAnsi="Arial" w:cs="Arial"/>
          <w:sz w:val="20"/>
          <w:szCs w:val="20"/>
        </w:rPr>
      </w:pPr>
    </w:p>
    <w:p w14:paraId="6F2DB033" w14:textId="077B8DEE" w:rsidR="00773CB8" w:rsidRPr="007E46B7" w:rsidRDefault="00F44E36">
      <w:pPr>
        <w:rPr>
          <w:rFonts w:ascii="Arial" w:hAnsi="Arial" w:cs="Arial"/>
          <w:sz w:val="20"/>
          <w:szCs w:val="20"/>
        </w:rPr>
      </w:pPr>
      <w:r w:rsidRPr="007E46B7">
        <w:rPr>
          <w:rFonts w:ascii="Arial" w:hAnsi="Arial" w:cs="Arial"/>
          <w:sz w:val="20"/>
          <w:szCs w:val="20"/>
        </w:rPr>
        <w:t>45 CFR 155.170</w:t>
      </w:r>
      <w:r w:rsidR="00462E7D" w:rsidRPr="007E46B7">
        <w:rPr>
          <w:rFonts w:ascii="Arial" w:hAnsi="Arial" w:cs="Arial"/>
          <w:sz w:val="20"/>
          <w:szCs w:val="20"/>
        </w:rPr>
        <w:t xml:space="preserve"> requires:</w:t>
      </w:r>
    </w:p>
    <w:p w14:paraId="46CD7F00" w14:textId="77777777" w:rsidR="00F44E36" w:rsidRPr="00DE3AC2" w:rsidRDefault="00F44E36" w:rsidP="007E3346">
      <w:pPr>
        <w:pStyle w:val="ListParagraph"/>
        <w:numPr>
          <w:ilvl w:val="0"/>
          <w:numId w:val="1"/>
        </w:numPr>
        <w:ind w:left="504"/>
        <w:rPr>
          <w:rFonts w:ascii="Arial" w:hAnsi="Arial" w:cs="Arial"/>
          <w:sz w:val="20"/>
          <w:szCs w:val="20"/>
        </w:rPr>
      </w:pPr>
      <w:r w:rsidRPr="007E46B7">
        <w:rPr>
          <w:rFonts w:ascii="Arial" w:hAnsi="Arial" w:cs="Arial"/>
          <w:sz w:val="20"/>
          <w:szCs w:val="20"/>
        </w:rPr>
        <w:t xml:space="preserve">A benefit mandated by state action on or after January 1, 2012, other </w:t>
      </w:r>
      <w:r w:rsidRPr="00DE3AC2">
        <w:rPr>
          <w:rFonts w:ascii="Arial" w:hAnsi="Arial" w:cs="Arial"/>
          <w:sz w:val="20"/>
          <w:szCs w:val="20"/>
        </w:rPr>
        <w:t xml:space="preserve">than for purposes of federal requirements is considered in addition to essential health benefits (EHB). </w:t>
      </w:r>
    </w:p>
    <w:p w14:paraId="548E012F" w14:textId="7062A0FC" w:rsidR="00F44E36" w:rsidRPr="00DE3AC2" w:rsidRDefault="00F44E36" w:rsidP="007E3346">
      <w:pPr>
        <w:pStyle w:val="ListParagraph"/>
        <w:numPr>
          <w:ilvl w:val="0"/>
          <w:numId w:val="1"/>
        </w:numPr>
        <w:ind w:left="504"/>
        <w:rPr>
          <w:rFonts w:ascii="Arial" w:hAnsi="Arial" w:cs="Arial"/>
          <w:sz w:val="20"/>
          <w:szCs w:val="20"/>
        </w:rPr>
      </w:pPr>
      <w:r w:rsidRPr="00DE3AC2">
        <w:rPr>
          <w:rFonts w:ascii="Arial" w:hAnsi="Arial" w:cs="Arial"/>
          <w:sz w:val="20"/>
          <w:szCs w:val="20"/>
        </w:rPr>
        <w:t>States have the authority to identify which required benefits are in addition to EHB</w:t>
      </w:r>
      <w:r w:rsidR="009B59B9" w:rsidRPr="00DE3AC2">
        <w:rPr>
          <w:rFonts w:ascii="Arial" w:hAnsi="Arial" w:cs="Arial"/>
          <w:sz w:val="20"/>
          <w:szCs w:val="20"/>
        </w:rPr>
        <w:t xml:space="preserve"> pursuant to federal requirements</w:t>
      </w:r>
      <w:r w:rsidRPr="00DE3AC2">
        <w:rPr>
          <w:rFonts w:ascii="Arial" w:hAnsi="Arial" w:cs="Arial"/>
          <w:sz w:val="20"/>
          <w:szCs w:val="20"/>
        </w:rPr>
        <w:t xml:space="preserve">. </w:t>
      </w:r>
    </w:p>
    <w:p w14:paraId="66D04E46" w14:textId="77777777" w:rsidR="00F44E36" w:rsidRPr="00DE3AC2" w:rsidRDefault="00F44E36" w:rsidP="007E3346">
      <w:pPr>
        <w:pStyle w:val="ListParagraph"/>
        <w:numPr>
          <w:ilvl w:val="0"/>
          <w:numId w:val="1"/>
        </w:numPr>
        <w:ind w:left="504"/>
        <w:rPr>
          <w:rFonts w:ascii="Arial" w:hAnsi="Arial" w:cs="Arial"/>
          <w:sz w:val="20"/>
          <w:szCs w:val="20"/>
        </w:rPr>
      </w:pPr>
      <w:r w:rsidRPr="00DE3AC2">
        <w:rPr>
          <w:rFonts w:ascii="Arial" w:hAnsi="Arial" w:cs="Arial"/>
          <w:sz w:val="20"/>
          <w:szCs w:val="20"/>
        </w:rPr>
        <w:t>The State must make defrayal payments to the enrollee or the carrier for the cost of benefits in addition to EHB.</w:t>
      </w:r>
    </w:p>
    <w:p w14:paraId="191FCBB6" w14:textId="12C6D72A" w:rsidR="00C97EF5" w:rsidRDefault="00462E7D" w:rsidP="00F44E36">
      <w:pPr>
        <w:rPr>
          <w:rFonts w:ascii="Arial" w:hAnsi="Arial" w:cs="Arial"/>
          <w:sz w:val="20"/>
          <w:szCs w:val="20"/>
        </w:rPr>
      </w:pPr>
      <w:r w:rsidRPr="00DE3AC2">
        <w:rPr>
          <w:rFonts w:ascii="Arial" w:hAnsi="Arial" w:cs="Arial"/>
          <w:sz w:val="20"/>
          <w:szCs w:val="20"/>
        </w:rPr>
        <w:t xml:space="preserve">By July 1, 2022, states are required under 45 CFR 156.111 (f) </w:t>
      </w:r>
      <w:r w:rsidR="00C97EF5" w:rsidRPr="00DE3AC2">
        <w:rPr>
          <w:rFonts w:ascii="Arial" w:hAnsi="Arial" w:cs="Arial"/>
          <w:sz w:val="20"/>
          <w:szCs w:val="20"/>
        </w:rPr>
        <w:t xml:space="preserve">to report </w:t>
      </w:r>
      <w:r w:rsidR="000F0B10" w:rsidRPr="00DE3AC2">
        <w:rPr>
          <w:rFonts w:ascii="Arial" w:hAnsi="Arial" w:cs="Arial"/>
          <w:sz w:val="20"/>
          <w:szCs w:val="20"/>
        </w:rPr>
        <w:t xml:space="preserve">to CMS </w:t>
      </w:r>
      <w:r w:rsidR="00047073" w:rsidRPr="00DE3AC2">
        <w:rPr>
          <w:rFonts w:ascii="Arial" w:hAnsi="Arial" w:cs="Arial"/>
          <w:sz w:val="20"/>
          <w:szCs w:val="20"/>
        </w:rPr>
        <w:t xml:space="preserve">all state mandate benefit imposed on or before December 31, 2011, and that are still in effect, and any state </w:t>
      </w:r>
      <w:r w:rsidR="00047073" w:rsidRPr="00460C67">
        <w:rPr>
          <w:rFonts w:ascii="Arial" w:hAnsi="Arial" w:cs="Arial"/>
          <w:sz w:val="20"/>
          <w:szCs w:val="20"/>
        </w:rPr>
        <w:t>mandated benefit</w:t>
      </w:r>
      <w:r w:rsidR="009B59B9" w:rsidRPr="00460C67">
        <w:rPr>
          <w:rFonts w:ascii="Arial" w:hAnsi="Arial" w:cs="Arial"/>
          <w:sz w:val="20"/>
          <w:szCs w:val="20"/>
        </w:rPr>
        <w:t>s</w:t>
      </w:r>
      <w:r w:rsidR="00047073" w:rsidRPr="00460C67">
        <w:rPr>
          <w:rFonts w:ascii="Arial" w:hAnsi="Arial" w:cs="Arial"/>
          <w:sz w:val="20"/>
          <w:szCs w:val="20"/>
        </w:rPr>
        <w:t xml:space="preserve"> </w:t>
      </w:r>
      <w:r w:rsidR="00047073">
        <w:rPr>
          <w:rFonts w:ascii="Arial" w:hAnsi="Arial" w:cs="Arial"/>
          <w:sz w:val="20"/>
          <w:szCs w:val="20"/>
        </w:rPr>
        <w:t>imposed after December 31, 2011.  This report is to be updated annually.</w:t>
      </w:r>
    </w:p>
    <w:p w14:paraId="6057CA57" w14:textId="3C875F6E" w:rsidR="00F44E36" w:rsidRDefault="008F28B8" w:rsidP="00F44E36">
      <w:pPr>
        <w:rPr>
          <w:rFonts w:ascii="Arial" w:hAnsi="Arial" w:cs="Arial"/>
          <w:sz w:val="20"/>
          <w:szCs w:val="20"/>
        </w:rPr>
      </w:pPr>
      <w:r>
        <w:rPr>
          <w:rFonts w:ascii="Arial" w:hAnsi="Arial" w:cs="Arial"/>
          <w:sz w:val="20"/>
          <w:szCs w:val="20"/>
        </w:rPr>
        <w:t xml:space="preserve">§ 38.2-6506 A 1 </w:t>
      </w:r>
      <w:r w:rsidR="000F0B10">
        <w:rPr>
          <w:rFonts w:ascii="Arial" w:hAnsi="Arial" w:cs="Arial"/>
          <w:sz w:val="20"/>
          <w:szCs w:val="20"/>
        </w:rPr>
        <w:t xml:space="preserve">of the Code of Virginia </w:t>
      </w:r>
      <w:r>
        <w:rPr>
          <w:rFonts w:ascii="Arial" w:hAnsi="Arial" w:cs="Arial"/>
          <w:sz w:val="20"/>
          <w:szCs w:val="20"/>
        </w:rPr>
        <w:t xml:space="preserve">prohibits qualified health plans (QHPs) – which are plans offered through the Individual or Small Group exchange (and the off-exchange version of those plans) - from providing state-mandated benefits that are in addition to EHB, meaning no QHPs </w:t>
      </w:r>
      <w:r w:rsidR="009B59B9">
        <w:rPr>
          <w:rFonts w:ascii="Arial" w:hAnsi="Arial" w:cs="Arial"/>
          <w:sz w:val="20"/>
          <w:szCs w:val="20"/>
        </w:rPr>
        <w:t xml:space="preserve">are permitted to </w:t>
      </w:r>
      <w:r>
        <w:rPr>
          <w:rFonts w:ascii="Arial" w:hAnsi="Arial" w:cs="Arial"/>
          <w:sz w:val="20"/>
          <w:szCs w:val="20"/>
        </w:rPr>
        <w:t xml:space="preserve">include any benefits in addition to EHB if </w:t>
      </w:r>
      <w:r w:rsidR="00D41744">
        <w:rPr>
          <w:rFonts w:ascii="Arial" w:hAnsi="Arial" w:cs="Arial"/>
          <w:sz w:val="20"/>
          <w:szCs w:val="20"/>
        </w:rPr>
        <w:t xml:space="preserve">those benefits are </w:t>
      </w:r>
      <w:r>
        <w:rPr>
          <w:rFonts w:ascii="Arial" w:hAnsi="Arial" w:cs="Arial"/>
          <w:sz w:val="20"/>
          <w:szCs w:val="20"/>
        </w:rPr>
        <w:t>mandated by</w:t>
      </w:r>
      <w:r w:rsidR="00D41744">
        <w:rPr>
          <w:rFonts w:ascii="Arial" w:hAnsi="Arial" w:cs="Arial"/>
          <w:sz w:val="20"/>
          <w:szCs w:val="20"/>
        </w:rPr>
        <w:t xml:space="preserve"> state law imposed on or after January 1, 2012</w:t>
      </w:r>
      <w:r>
        <w:rPr>
          <w:rFonts w:ascii="Arial" w:hAnsi="Arial" w:cs="Arial"/>
          <w:sz w:val="20"/>
          <w:szCs w:val="20"/>
        </w:rPr>
        <w:t>.  Thus, state defrayal would not be required.</w:t>
      </w:r>
    </w:p>
    <w:p w14:paraId="61EF1F6C" w14:textId="6A7EC22E" w:rsidR="008F28B8" w:rsidRPr="002C0B85" w:rsidRDefault="008F28B8" w:rsidP="00F44E36">
      <w:pPr>
        <w:rPr>
          <w:rFonts w:ascii="Arial" w:hAnsi="Arial" w:cs="Arial"/>
          <w:sz w:val="20"/>
          <w:szCs w:val="20"/>
        </w:rPr>
      </w:pPr>
      <w:r w:rsidRPr="00D41744">
        <w:rPr>
          <w:rFonts w:ascii="Arial" w:hAnsi="Arial" w:cs="Arial"/>
          <w:b/>
          <w:bCs/>
          <w:sz w:val="20"/>
          <w:szCs w:val="20"/>
        </w:rPr>
        <w:t>However</w:t>
      </w:r>
      <w:r>
        <w:rPr>
          <w:rFonts w:ascii="Arial" w:hAnsi="Arial" w:cs="Arial"/>
          <w:sz w:val="20"/>
          <w:szCs w:val="20"/>
        </w:rPr>
        <w:t xml:space="preserve">, </w:t>
      </w:r>
      <w:r w:rsidR="00472332">
        <w:rPr>
          <w:rFonts w:ascii="Arial" w:hAnsi="Arial" w:cs="Arial"/>
          <w:sz w:val="20"/>
          <w:szCs w:val="20"/>
        </w:rPr>
        <w:t>CMS has cautioned states “that imposing different benefit mandates depending on a plan’s status as a QHP o</w:t>
      </w:r>
      <w:r w:rsidR="00472332" w:rsidRPr="00D41744">
        <w:rPr>
          <w:rFonts w:ascii="Arial" w:hAnsi="Arial" w:cs="Arial"/>
          <w:sz w:val="20"/>
          <w:szCs w:val="20"/>
        </w:rPr>
        <w:t xml:space="preserve">r because it is sold through the Exchange may violate </w:t>
      </w:r>
      <w:r w:rsidR="00D41744" w:rsidRPr="00D41744">
        <w:rPr>
          <w:rFonts w:ascii="Arial" w:hAnsi="Arial" w:cs="Arial"/>
          <w:sz w:val="20"/>
          <w:szCs w:val="20"/>
        </w:rPr>
        <w:t>section</w:t>
      </w:r>
      <w:r w:rsidR="00472332" w:rsidRPr="00D41744">
        <w:rPr>
          <w:rFonts w:ascii="Arial" w:hAnsi="Arial" w:cs="Arial"/>
          <w:sz w:val="20"/>
          <w:szCs w:val="20"/>
        </w:rPr>
        <w:t xml:space="preserve"> 12</w:t>
      </w:r>
      <w:r w:rsidR="00D41744" w:rsidRPr="00D41744">
        <w:rPr>
          <w:rFonts w:ascii="Arial" w:hAnsi="Arial" w:cs="Arial"/>
          <w:sz w:val="20"/>
          <w:szCs w:val="20"/>
        </w:rPr>
        <w:t>5</w:t>
      </w:r>
      <w:r w:rsidR="00472332" w:rsidRPr="00D41744">
        <w:rPr>
          <w:rFonts w:ascii="Arial" w:hAnsi="Arial" w:cs="Arial"/>
          <w:sz w:val="20"/>
          <w:szCs w:val="20"/>
        </w:rPr>
        <w:t>2 of the Affordable Care Act. Under this section, State standards or requirements implementing,</w:t>
      </w:r>
      <w:r w:rsidR="00456250">
        <w:rPr>
          <w:rFonts w:ascii="Arial" w:hAnsi="Arial" w:cs="Arial"/>
          <w:sz w:val="20"/>
          <w:szCs w:val="20"/>
        </w:rPr>
        <w:t xml:space="preserve"> </w:t>
      </w:r>
      <w:r w:rsidR="00472332" w:rsidRPr="00D41744">
        <w:rPr>
          <w:rFonts w:ascii="Arial" w:hAnsi="Arial" w:cs="Arial"/>
          <w:sz w:val="20"/>
          <w:szCs w:val="20"/>
        </w:rPr>
        <w:t xml:space="preserve">or related to standards or </w:t>
      </w:r>
      <w:r w:rsidR="00472332" w:rsidRPr="002C0B85">
        <w:rPr>
          <w:rFonts w:ascii="Arial" w:hAnsi="Arial" w:cs="Arial"/>
          <w:sz w:val="20"/>
          <w:szCs w:val="20"/>
        </w:rPr>
        <w:lastRenderedPageBreak/>
        <w:t xml:space="preserve">requirements in </w:t>
      </w:r>
      <w:r w:rsidR="007E46B7" w:rsidRPr="002C0B85">
        <w:rPr>
          <w:rFonts w:ascii="Arial" w:hAnsi="Arial" w:cs="Arial"/>
          <w:sz w:val="20"/>
          <w:szCs w:val="20"/>
        </w:rPr>
        <w:t>T</w:t>
      </w:r>
      <w:r w:rsidR="00472332" w:rsidRPr="002C0B85">
        <w:rPr>
          <w:rFonts w:ascii="Arial" w:hAnsi="Arial" w:cs="Arial"/>
          <w:sz w:val="20"/>
          <w:szCs w:val="20"/>
        </w:rPr>
        <w:t>itle I of the A</w:t>
      </w:r>
      <w:r w:rsidR="00D41744" w:rsidRPr="002C0B85">
        <w:rPr>
          <w:rFonts w:ascii="Arial" w:hAnsi="Arial" w:cs="Arial"/>
          <w:sz w:val="20"/>
          <w:szCs w:val="20"/>
        </w:rPr>
        <w:t>CA</w:t>
      </w:r>
      <w:r w:rsidR="00472332" w:rsidRPr="002C0B85">
        <w:rPr>
          <w:rFonts w:ascii="Arial" w:hAnsi="Arial" w:cs="Arial"/>
          <w:sz w:val="20"/>
          <w:szCs w:val="20"/>
        </w:rPr>
        <w:t xml:space="preserve"> must be applied uniformly within a given insurance market.  Thus, if a State requires that non-QHPs in the individual or small group market provide any benefits, under section 1252, the State must require QHPs sold through the Exchange in that same market to provide those same benefits, and consistent with our earlier stated policy at § 155.170(a)(2), States would generally be required to defray the cost of QHPs providing the required benefits if they were required through State action taking place after December 31, 2011.”</w:t>
      </w:r>
      <w:r w:rsidR="00472332" w:rsidRPr="002C0B85">
        <w:rPr>
          <w:rStyle w:val="FootnoteReference"/>
          <w:rFonts w:ascii="Arial" w:hAnsi="Arial" w:cs="Arial"/>
          <w:sz w:val="20"/>
          <w:szCs w:val="20"/>
        </w:rPr>
        <w:footnoteReference w:id="1"/>
      </w:r>
      <w:r w:rsidR="00472332" w:rsidRPr="002C0B85">
        <w:rPr>
          <w:rFonts w:ascii="Arial" w:hAnsi="Arial" w:cs="Arial"/>
          <w:sz w:val="20"/>
          <w:szCs w:val="20"/>
        </w:rPr>
        <w:t xml:space="preserve">  </w:t>
      </w:r>
    </w:p>
    <w:p w14:paraId="6C20BF21" w14:textId="7E183D90" w:rsidR="00C97EF5" w:rsidRPr="00D41744" w:rsidRDefault="00472332" w:rsidP="00D41744">
      <w:pPr>
        <w:spacing w:after="0" w:line="240" w:lineRule="auto"/>
        <w:ind w:left="-30"/>
        <w:rPr>
          <w:rFonts w:ascii="Arial" w:hAnsi="Arial" w:cs="Arial"/>
          <w:sz w:val="20"/>
          <w:szCs w:val="20"/>
        </w:rPr>
      </w:pPr>
      <w:r w:rsidRPr="002C0B85">
        <w:rPr>
          <w:rFonts w:ascii="Arial" w:hAnsi="Arial" w:cs="Arial"/>
          <w:sz w:val="20"/>
          <w:szCs w:val="20"/>
        </w:rPr>
        <w:t>New or revised benefits may be r</w:t>
      </w:r>
      <w:r w:rsidR="00C97EF5" w:rsidRPr="002C0B85">
        <w:rPr>
          <w:rFonts w:ascii="Arial" w:hAnsi="Arial" w:cs="Arial"/>
          <w:sz w:val="20"/>
          <w:szCs w:val="20"/>
        </w:rPr>
        <w:t xml:space="preserve">equired </w:t>
      </w:r>
      <w:r w:rsidRPr="002C0B85">
        <w:rPr>
          <w:rFonts w:ascii="Arial" w:hAnsi="Arial" w:cs="Arial"/>
          <w:sz w:val="20"/>
          <w:szCs w:val="20"/>
        </w:rPr>
        <w:t>of QHPs without</w:t>
      </w:r>
      <w:r w:rsidR="00C97EF5" w:rsidRPr="002C0B85">
        <w:rPr>
          <w:rFonts w:ascii="Arial" w:hAnsi="Arial" w:cs="Arial"/>
          <w:sz w:val="20"/>
          <w:szCs w:val="20"/>
        </w:rPr>
        <w:t xml:space="preserve"> the state being required to defray costs by revising the EHB benchmark plan.</w:t>
      </w:r>
      <w:r w:rsidRPr="002C0B85">
        <w:rPr>
          <w:rFonts w:ascii="Arial" w:hAnsi="Arial" w:cs="Arial"/>
          <w:sz w:val="20"/>
          <w:szCs w:val="20"/>
        </w:rPr>
        <w:t xml:space="preserve">  </w:t>
      </w:r>
      <w:r w:rsidR="00462E7D" w:rsidRPr="002C0B85">
        <w:rPr>
          <w:rFonts w:ascii="Arial" w:hAnsi="Arial" w:cs="Arial"/>
          <w:sz w:val="20"/>
          <w:szCs w:val="20"/>
        </w:rPr>
        <w:t xml:space="preserve">Here you will find a CMS </w:t>
      </w:r>
      <w:hyperlink r:id="rId8" w:history="1">
        <w:r w:rsidR="00462E7D" w:rsidRPr="002C0B85">
          <w:rPr>
            <w:rStyle w:val="Hyperlink"/>
            <w:rFonts w:ascii="Arial" w:hAnsi="Arial" w:cs="Arial"/>
            <w:sz w:val="20"/>
            <w:szCs w:val="20"/>
          </w:rPr>
          <w:t xml:space="preserve">FAQ </w:t>
        </w:r>
      </w:hyperlink>
      <w:r w:rsidR="00462E7D" w:rsidRPr="002C0B85">
        <w:rPr>
          <w:rFonts w:ascii="Arial" w:hAnsi="Arial" w:cs="Arial"/>
          <w:sz w:val="20"/>
          <w:szCs w:val="20"/>
        </w:rPr>
        <w:t>that provides in</w:t>
      </w:r>
      <w:r w:rsidRPr="002C0B85">
        <w:rPr>
          <w:rFonts w:ascii="Arial" w:hAnsi="Arial" w:cs="Arial"/>
          <w:sz w:val="20"/>
          <w:szCs w:val="20"/>
        </w:rPr>
        <w:t>formation on state defrayal</w:t>
      </w:r>
      <w:r w:rsidR="00462E7D" w:rsidRPr="002C0B85">
        <w:rPr>
          <w:rFonts w:ascii="Arial" w:hAnsi="Arial" w:cs="Arial"/>
          <w:sz w:val="20"/>
          <w:szCs w:val="20"/>
        </w:rPr>
        <w:t xml:space="preserve"> determination</w:t>
      </w:r>
      <w:r w:rsidRPr="002C0B85">
        <w:rPr>
          <w:rFonts w:ascii="Arial" w:hAnsi="Arial" w:cs="Arial"/>
          <w:sz w:val="20"/>
          <w:szCs w:val="20"/>
        </w:rPr>
        <w:t xml:space="preserve"> and selecting a new EHB benchmark plan</w:t>
      </w:r>
      <w:r w:rsidR="00462E7D" w:rsidRPr="002C0B85">
        <w:rPr>
          <w:rFonts w:ascii="Arial" w:hAnsi="Arial" w:cs="Arial"/>
          <w:sz w:val="20"/>
          <w:szCs w:val="20"/>
        </w:rPr>
        <w:t xml:space="preserve">.  </w:t>
      </w:r>
      <w:r w:rsidRPr="00D41744">
        <w:rPr>
          <w:rFonts w:ascii="Arial" w:hAnsi="Arial" w:cs="Arial"/>
          <w:sz w:val="20"/>
          <w:szCs w:val="20"/>
        </w:rPr>
        <w:t xml:space="preserve"> </w:t>
      </w:r>
    </w:p>
    <w:p w14:paraId="22FA4F90" w14:textId="77777777" w:rsidR="00773CB8" w:rsidRPr="00144AAA" w:rsidRDefault="00773CB8">
      <w:pPr>
        <w:rPr>
          <w:sz w:val="20"/>
          <w:szCs w:val="20"/>
        </w:rPr>
      </w:pPr>
    </w:p>
    <w:p w14:paraId="77CB06A0" w14:textId="77777777" w:rsidR="00773CB8" w:rsidRPr="00144AAA" w:rsidRDefault="00773CB8">
      <w:pPr>
        <w:rPr>
          <w:sz w:val="20"/>
          <w:szCs w:val="20"/>
        </w:rPr>
      </w:pPr>
    </w:p>
    <w:p w14:paraId="42CA149F" w14:textId="77777777" w:rsidR="00773CB8" w:rsidRPr="00144AAA" w:rsidRDefault="00773CB8">
      <w:pPr>
        <w:rPr>
          <w:sz w:val="20"/>
          <w:szCs w:val="20"/>
        </w:rPr>
      </w:pPr>
    </w:p>
    <w:p w14:paraId="5D85F233" w14:textId="77777777" w:rsidR="00773CB8" w:rsidRPr="00144AAA" w:rsidRDefault="00773CB8">
      <w:pPr>
        <w:rPr>
          <w:sz w:val="20"/>
          <w:szCs w:val="20"/>
        </w:rPr>
      </w:pPr>
    </w:p>
    <w:p w14:paraId="76A97194" w14:textId="77777777" w:rsidR="00773CB8" w:rsidRPr="00144AAA" w:rsidRDefault="00773CB8">
      <w:pPr>
        <w:rPr>
          <w:sz w:val="20"/>
          <w:szCs w:val="20"/>
        </w:rPr>
      </w:pPr>
    </w:p>
    <w:p w14:paraId="5D773FE9" w14:textId="77777777" w:rsidR="00773CB8" w:rsidRPr="00144AAA" w:rsidRDefault="00773CB8">
      <w:pPr>
        <w:rPr>
          <w:sz w:val="20"/>
          <w:szCs w:val="20"/>
        </w:rPr>
      </w:pPr>
    </w:p>
    <w:p w14:paraId="42DBC54E" w14:textId="77777777" w:rsidR="00773CB8" w:rsidRPr="00144AAA" w:rsidRDefault="00773CB8">
      <w:pPr>
        <w:rPr>
          <w:sz w:val="20"/>
          <w:szCs w:val="20"/>
        </w:rPr>
      </w:pPr>
    </w:p>
    <w:p w14:paraId="042D1E40" w14:textId="77777777" w:rsidR="00773CB8" w:rsidRPr="00144AAA" w:rsidRDefault="00773CB8">
      <w:pPr>
        <w:rPr>
          <w:sz w:val="20"/>
          <w:szCs w:val="20"/>
        </w:rPr>
      </w:pPr>
    </w:p>
    <w:p w14:paraId="51EE39B7" w14:textId="77777777" w:rsidR="00773CB8" w:rsidRPr="00144AAA" w:rsidRDefault="00773CB8">
      <w:pPr>
        <w:rPr>
          <w:sz w:val="20"/>
          <w:szCs w:val="20"/>
        </w:rPr>
      </w:pPr>
    </w:p>
    <w:sectPr w:rsidR="00773CB8" w:rsidRPr="00144AAA" w:rsidSect="004336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8CC5" w14:textId="77777777" w:rsidR="00BC6C95" w:rsidRDefault="00BC6C95" w:rsidP="00E83016">
      <w:pPr>
        <w:spacing w:after="0" w:line="240" w:lineRule="auto"/>
      </w:pPr>
      <w:r>
        <w:separator/>
      </w:r>
    </w:p>
  </w:endnote>
  <w:endnote w:type="continuationSeparator" w:id="0">
    <w:p w14:paraId="11EDDDB3" w14:textId="77777777" w:rsidR="00BC6C95" w:rsidRDefault="00BC6C95" w:rsidP="00E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78E1" w14:textId="77777777" w:rsidR="008D28EC" w:rsidRDefault="008D2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5BD6" w14:textId="77777777" w:rsidR="00BC6C95" w:rsidRDefault="00BC6C95">
    <w:pPr>
      <w:pStyle w:val="Footer"/>
    </w:pPr>
    <w:r>
      <w:rPr>
        <w:noProof/>
      </w:rPr>
      <mc:AlternateContent>
        <mc:Choice Requires="wps">
          <w:drawing>
            <wp:anchor distT="0" distB="0" distL="114300" distR="114300" simplePos="0" relativeHeight="251659264" behindDoc="0" locked="0" layoutInCell="0" allowOverlap="1" wp14:anchorId="55169C25" wp14:editId="5F71262F">
              <wp:simplePos x="0" y="0"/>
              <wp:positionH relativeFrom="page">
                <wp:posOffset>0</wp:posOffset>
              </wp:positionH>
              <wp:positionV relativeFrom="page">
                <wp:posOffset>9601200</wp:posOffset>
              </wp:positionV>
              <wp:extent cx="7772400" cy="266700"/>
              <wp:effectExtent l="0" t="0" r="0" b="0"/>
              <wp:wrapNone/>
              <wp:docPr id="2" name="MSIPCM53454fbb89805194781ab67e"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0505F" w14:textId="5DE352C6" w:rsidR="00BC6C95" w:rsidRPr="00E83016" w:rsidRDefault="00BC6C95" w:rsidP="00E83016">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169C25" id="_x0000_t202" coordsize="21600,21600" o:spt="202" path="m,l,21600r21600,l21600,xe">
              <v:stroke joinstyle="miter"/>
              <v:path gradientshapeok="t" o:connecttype="rect"/>
            </v:shapetype>
            <v:shape id="MSIPCM53454fbb89805194781ab67e" o:spid="_x0000_s1026"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Df6CXwWAwAANgYAAA4AAAAAAAAAAAAAAAAALgIA&#10;AGRycy9lMm9Eb2MueG1sUEsBAi0AFAAGAAgAAAAhAFjjpDzcAAAACwEAAA8AAAAAAAAAAAAAAAAA&#10;cAUAAGRycy9kb3ducmV2LnhtbFBLBQYAAAAABAAEAPMAAAB5BgAAAAA=&#10;" o:allowincell="f" filled="f" stroked="f" strokeweight=".5pt">
              <v:textbox inset=",0,,0">
                <w:txbxContent>
                  <w:p w14:paraId="2750505F" w14:textId="5DE352C6" w:rsidR="00BC6C95" w:rsidRPr="00E83016" w:rsidRDefault="00BC6C95" w:rsidP="00E83016">
                    <w:pPr>
                      <w:spacing w:after="0"/>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76D5" w14:textId="77777777" w:rsidR="008D28EC" w:rsidRDefault="008D2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E967" w14:textId="77777777" w:rsidR="00BC6C95" w:rsidRDefault="00BC6C95" w:rsidP="00E83016">
      <w:pPr>
        <w:spacing w:after="0" w:line="240" w:lineRule="auto"/>
      </w:pPr>
      <w:r>
        <w:separator/>
      </w:r>
    </w:p>
  </w:footnote>
  <w:footnote w:type="continuationSeparator" w:id="0">
    <w:p w14:paraId="427EC3F6" w14:textId="77777777" w:rsidR="00BC6C95" w:rsidRDefault="00BC6C95" w:rsidP="00E83016">
      <w:pPr>
        <w:spacing w:after="0" w:line="240" w:lineRule="auto"/>
      </w:pPr>
      <w:r>
        <w:continuationSeparator/>
      </w:r>
    </w:p>
  </w:footnote>
  <w:footnote w:id="1">
    <w:p w14:paraId="657890C4" w14:textId="4C0EB92C" w:rsidR="00BC6C95" w:rsidRDefault="00BC6C95">
      <w:pPr>
        <w:pStyle w:val="FootnoteText"/>
      </w:pPr>
      <w:r>
        <w:rPr>
          <w:rStyle w:val="FootnoteReference"/>
        </w:rPr>
        <w:footnoteRef/>
      </w:r>
      <w:r>
        <w:t xml:space="preserve"> March 8, 2016 Notice of Benefit and Payment Parameters (81 FR 12337)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CBA0" w14:textId="77777777" w:rsidR="008D28EC" w:rsidRDefault="008D2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6970" w14:textId="77777777" w:rsidR="008D28EC" w:rsidRDefault="008D2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C76A" w14:textId="77777777" w:rsidR="008D28EC" w:rsidRDefault="008D2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6CB"/>
    <w:multiLevelType w:val="hybridMultilevel"/>
    <w:tmpl w:val="A12450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B8"/>
    <w:rsid w:val="00011569"/>
    <w:rsid w:val="000432FA"/>
    <w:rsid w:val="00047073"/>
    <w:rsid w:val="000F0B10"/>
    <w:rsid w:val="000F5A5A"/>
    <w:rsid w:val="00113D1F"/>
    <w:rsid w:val="00144AAA"/>
    <w:rsid w:val="001D7DF5"/>
    <w:rsid w:val="001E4C5B"/>
    <w:rsid w:val="00247036"/>
    <w:rsid w:val="002836D9"/>
    <w:rsid w:val="002B1204"/>
    <w:rsid w:val="002C07E8"/>
    <w:rsid w:val="002C0B85"/>
    <w:rsid w:val="00365355"/>
    <w:rsid w:val="003C6876"/>
    <w:rsid w:val="003C770A"/>
    <w:rsid w:val="003F2429"/>
    <w:rsid w:val="00422EE4"/>
    <w:rsid w:val="0043363E"/>
    <w:rsid w:val="00456250"/>
    <w:rsid w:val="00460C67"/>
    <w:rsid w:val="00462E7D"/>
    <w:rsid w:val="00472332"/>
    <w:rsid w:val="0051139E"/>
    <w:rsid w:val="0056538A"/>
    <w:rsid w:val="005E46BD"/>
    <w:rsid w:val="00640AA3"/>
    <w:rsid w:val="006D5391"/>
    <w:rsid w:val="007351BF"/>
    <w:rsid w:val="00773CB8"/>
    <w:rsid w:val="007E3346"/>
    <w:rsid w:val="007E46B7"/>
    <w:rsid w:val="007F7378"/>
    <w:rsid w:val="00805000"/>
    <w:rsid w:val="0082667A"/>
    <w:rsid w:val="008327DC"/>
    <w:rsid w:val="00895C49"/>
    <w:rsid w:val="008D28EC"/>
    <w:rsid w:val="008F28B8"/>
    <w:rsid w:val="00940D28"/>
    <w:rsid w:val="009B59B9"/>
    <w:rsid w:val="009C6624"/>
    <w:rsid w:val="00A61BAB"/>
    <w:rsid w:val="00A72AA8"/>
    <w:rsid w:val="00AE53D8"/>
    <w:rsid w:val="00B10D5B"/>
    <w:rsid w:val="00B24AFA"/>
    <w:rsid w:val="00B37E99"/>
    <w:rsid w:val="00B4637E"/>
    <w:rsid w:val="00B74FF9"/>
    <w:rsid w:val="00B941B9"/>
    <w:rsid w:val="00BC6C95"/>
    <w:rsid w:val="00C97EF5"/>
    <w:rsid w:val="00D41744"/>
    <w:rsid w:val="00D872BE"/>
    <w:rsid w:val="00DB077F"/>
    <w:rsid w:val="00DD599E"/>
    <w:rsid w:val="00DE3AC2"/>
    <w:rsid w:val="00E83016"/>
    <w:rsid w:val="00F05DB0"/>
    <w:rsid w:val="00F41DA0"/>
    <w:rsid w:val="00F44E36"/>
    <w:rsid w:val="00FD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E21A6E"/>
  <w15:chartTrackingRefBased/>
  <w15:docId w15:val="{62B1B9D6-953F-4A48-828B-4118FE77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16"/>
  </w:style>
  <w:style w:type="paragraph" w:styleId="Footer">
    <w:name w:val="footer"/>
    <w:basedOn w:val="Normal"/>
    <w:link w:val="FooterChar"/>
    <w:uiPriority w:val="99"/>
    <w:unhideWhenUsed/>
    <w:rsid w:val="00E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16"/>
  </w:style>
  <w:style w:type="character" w:styleId="CommentReference">
    <w:name w:val="annotation reference"/>
    <w:basedOn w:val="DefaultParagraphFont"/>
    <w:uiPriority w:val="99"/>
    <w:semiHidden/>
    <w:unhideWhenUsed/>
    <w:rsid w:val="00B24AFA"/>
    <w:rPr>
      <w:sz w:val="16"/>
      <w:szCs w:val="16"/>
    </w:rPr>
  </w:style>
  <w:style w:type="paragraph" w:styleId="CommentText">
    <w:name w:val="annotation text"/>
    <w:basedOn w:val="Normal"/>
    <w:link w:val="CommentTextChar"/>
    <w:uiPriority w:val="99"/>
    <w:semiHidden/>
    <w:unhideWhenUsed/>
    <w:rsid w:val="00B24AFA"/>
    <w:pPr>
      <w:spacing w:line="240" w:lineRule="auto"/>
    </w:pPr>
    <w:rPr>
      <w:sz w:val="20"/>
      <w:szCs w:val="20"/>
    </w:rPr>
  </w:style>
  <w:style w:type="character" w:customStyle="1" w:styleId="CommentTextChar">
    <w:name w:val="Comment Text Char"/>
    <w:basedOn w:val="DefaultParagraphFont"/>
    <w:link w:val="CommentText"/>
    <w:uiPriority w:val="99"/>
    <w:semiHidden/>
    <w:rsid w:val="00B24AFA"/>
    <w:rPr>
      <w:sz w:val="20"/>
      <w:szCs w:val="20"/>
    </w:rPr>
  </w:style>
  <w:style w:type="paragraph" w:styleId="CommentSubject">
    <w:name w:val="annotation subject"/>
    <w:basedOn w:val="CommentText"/>
    <w:next w:val="CommentText"/>
    <w:link w:val="CommentSubjectChar"/>
    <w:uiPriority w:val="99"/>
    <w:semiHidden/>
    <w:unhideWhenUsed/>
    <w:rsid w:val="00B24AFA"/>
    <w:rPr>
      <w:b/>
      <w:bCs/>
    </w:rPr>
  </w:style>
  <w:style w:type="character" w:customStyle="1" w:styleId="CommentSubjectChar">
    <w:name w:val="Comment Subject Char"/>
    <w:basedOn w:val="CommentTextChar"/>
    <w:link w:val="CommentSubject"/>
    <w:uiPriority w:val="99"/>
    <w:semiHidden/>
    <w:rsid w:val="00B24AFA"/>
    <w:rPr>
      <w:b/>
      <w:bCs/>
      <w:sz w:val="20"/>
      <w:szCs w:val="20"/>
    </w:rPr>
  </w:style>
  <w:style w:type="paragraph" w:styleId="BalloonText">
    <w:name w:val="Balloon Text"/>
    <w:basedOn w:val="Normal"/>
    <w:link w:val="BalloonTextChar"/>
    <w:uiPriority w:val="99"/>
    <w:semiHidden/>
    <w:unhideWhenUsed/>
    <w:rsid w:val="00B24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FA"/>
    <w:rPr>
      <w:rFonts w:ascii="Segoe UI" w:hAnsi="Segoe UI" w:cs="Segoe UI"/>
      <w:sz w:val="18"/>
      <w:szCs w:val="18"/>
    </w:rPr>
  </w:style>
  <w:style w:type="paragraph" w:styleId="ListParagraph">
    <w:name w:val="List Paragraph"/>
    <w:basedOn w:val="Normal"/>
    <w:uiPriority w:val="34"/>
    <w:qFormat/>
    <w:rsid w:val="00B24AFA"/>
    <w:pPr>
      <w:ind w:left="720"/>
      <w:contextualSpacing/>
    </w:pPr>
  </w:style>
  <w:style w:type="paragraph" w:styleId="FootnoteText">
    <w:name w:val="footnote text"/>
    <w:basedOn w:val="Normal"/>
    <w:link w:val="FootnoteTextChar"/>
    <w:uiPriority w:val="99"/>
    <w:semiHidden/>
    <w:unhideWhenUsed/>
    <w:rsid w:val="00472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332"/>
    <w:rPr>
      <w:sz w:val="20"/>
      <w:szCs w:val="20"/>
    </w:rPr>
  </w:style>
  <w:style w:type="character" w:styleId="FootnoteReference">
    <w:name w:val="footnote reference"/>
    <w:basedOn w:val="DefaultParagraphFont"/>
    <w:uiPriority w:val="99"/>
    <w:semiHidden/>
    <w:unhideWhenUsed/>
    <w:rsid w:val="00472332"/>
    <w:rPr>
      <w:vertAlign w:val="superscript"/>
    </w:rPr>
  </w:style>
  <w:style w:type="character" w:styleId="Hyperlink">
    <w:name w:val="Hyperlink"/>
    <w:basedOn w:val="DefaultParagraphFont"/>
    <w:uiPriority w:val="99"/>
    <w:unhideWhenUsed/>
    <w:rsid w:val="00462E7D"/>
    <w:rPr>
      <w:color w:val="0000FF" w:themeColor="hyperlink"/>
      <w:u w:val="single"/>
    </w:rPr>
  </w:style>
  <w:style w:type="character" w:styleId="UnresolvedMention">
    <w:name w:val="Unresolved Mention"/>
    <w:basedOn w:val="DefaultParagraphFont"/>
    <w:uiPriority w:val="99"/>
    <w:semiHidden/>
    <w:unhideWhenUsed/>
    <w:rsid w:val="00462E7D"/>
    <w:rPr>
      <w:color w:val="605E5C"/>
      <w:shd w:val="clear" w:color="auto" w:fill="E1DFDD"/>
    </w:rPr>
  </w:style>
  <w:style w:type="character" w:styleId="FollowedHyperlink">
    <w:name w:val="FollowedHyperlink"/>
    <w:basedOn w:val="DefaultParagraphFont"/>
    <w:uiPriority w:val="99"/>
    <w:semiHidden/>
    <w:unhideWhenUsed/>
    <w:rsid w:val="007E4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672">
      <w:bodyDiv w:val="1"/>
      <w:marLeft w:val="0"/>
      <w:marRight w:val="0"/>
      <w:marTop w:val="0"/>
      <w:marBottom w:val="0"/>
      <w:divBdr>
        <w:top w:val="none" w:sz="0" w:space="0" w:color="auto"/>
        <w:left w:val="none" w:sz="0" w:space="0" w:color="auto"/>
        <w:bottom w:val="none" w:sz="0" w:space="0" w:color="auto"/>
        <w:right w:val="none" w:sz="0" w:space="0" w:color="auto"/>
      </w:divBdr>
    </w:div>
    <w:div w:id="106320264">
      <w:bodyDiv w:val="1"/>
      <w:marLeft w:val="0"/>
      <w:marRight w:val="0"/>
      <w:marTop w:val="0"/>
      <w:marBottom w:val="0"/>
      <w:divBdr>
        <w:top w:val="none" w:sz="0" w:space="0" w:color="auto"/>
        <w:left w:val="none" w:sz="0" w:space="0" w:color="auto"/>
        <w:bottom w:val="none" w:sz="0" w:space="0" w:color="auto"/>
        <w:right w:val="none" w:sz="0" w:space="0" w:color="auto"/>
      </w:divBdr>
    </w:div>
    <w:div w:id="237907742">
      <w:bodyDiv w:val="1"/>
      <w:marLeft w:val="0"/>
      <w:marRight w:val="0"/>
      <w:marTop w:val="0"/>
      <w:marBottom w:val="0"/>
      <w:divBdr>
        <w:top w:val="none" w:sz="0" w:space="0" w:color="auto"/>
        <w:left w:val="none" w:sz="0" w:space="0" w:color="auto"/>
        <w:bottom w:val="none" w:sz="0" w:space="0" w:color="auto"/>
        <w:right w:val="none" w:sz="0" w:space="0" w:color="auto"/>
      </w:divBdr>
    </w:div>
    <w:div w:id="500588836">
      <w:bodyDiv w:val="1"/>
      <w:marLeft w:val="0"/>
      <w:marRight w:val="0"/>
      <w:marTop w:val="0"/>
      <w:marBottom w:val="0"/>
      <w:divBdr>
        <w:top w:val="none" w:sz="0" w:space="0" w:color="auto"/>
        <w:left w:val="none" w:sz="0" w:space="0" w:color="auto"/>
        <w:bottom w:val="none" w:sz="0" w:space="0" w:color="auto"/>
        <w:right w:val="none" w:sz="0" w:space="0" w:color="auto"/>
      </w:divBdr>
    </w:div>
    <w:div w:id="1257907810">
      <w:bodyDiv w:val="1"/>
      <w:marLeft w:val="0"/>
      <w:marRight w:val="0"/>
      <w:marTop w:val="0"/>
      <w:marBottom w:val="0"/>
      <w:divBdr>
        <w:top w:val="none" w:sz="0" w:space="0" w:color="auto"/>
        <w:left w:val="none" w:sz="0" w:space="0" w:color="auto"/>
        <w:bottom w:val="none" w:sz="0" w:space="0" w:color="auto"/>
        <w:right w:val="none" w:sz="0" w:space="0" w:color="auto"/>
      </w:divBdr>
    </w:div>
    <w:div w:id="1374112599">
      <w:bodyDiv w:val="1"/>
      <w:marLeft w:val="0"/>
      <w:marRight w:val="0"/>
      <w:marTop w:val="0"/>
      <w:marBottom w:val="0"/>
      <w:divBdr>
        <w:top w:val="none" w:sz="0" w:space="0" w:color="auto"/>
        <w:left w:val="none" w:sz="0" w:space="0" w:color="auto"/>
        <w:bottom w:val="none" w:sz="0" w:space="0" w:color="auto"/>
        <w:right w:val="none" w:sz="0" w:space="0" w:color="auto"/>
      </w:divBdr>
    </w:div>
    <w:div w:id="1500731505">
      <w:bodyDiv w:val="1"/>
      <w:marLeft w:val="0"/>
      <w:marRight w:val="0"/>
      <w:marTop w:val="0"/>
      <w:marBottom w:val="0"/>
      <w:divBdr>
        <w:top w:val="none" w:sz="0" w:space="0" w:color="auto"/>
        <w:left w:val="none" w:sz="0" w:space="0" w:color="auto"/>
        <w:bottom w:val="none" w:sz="0" w:space="0" w:color="auto"/>
        <w:right w:val="none" w:sz="0" w:space="0" w:color="auto"/>
      </w:divBdr>
    </w:div>
    <w:div w:id="1695764767">
      <w:bodyDiv w:val="1"/>
      <w:marLeft w:val="0"/>
      <w:marRight w:val="0"/>
      <w:marTop w:val="0"/>
      <w:marBottom w:val="0"/>
      <w:divBdr>
        <w:top w:val="none" w:sz="0" w:space="0" w:color="auto"/>
        <w:left w:val="none" w:sz="0" w:space="0" w:color="auto"/>
        <w:bottom w:val="none" w:sz="0" w:space="0" w:color="auto"/>
        <w:right w:val="none" w:sz="0" w:space="0" w:color="auto"/>
      </w:divBdr>
    </w:div>
    <w:div w:id="1947423428">
      <w:bodyDiv w:val="1"/>
      <w:marLeft w:val="0"/>
      <w:marRight w:val="0"/>
      <w:marTop w:val="0"/>
      <w:marBottom w:val="0"/>
      <w:divBdr>
        <w:top w:val="none" w:sz="0" w:space="0" w:color="auto"/>
        <w:left w:val="none" w:sz="0" w:space="0" w:color="auto"/>
        <w:bottom w:val="none" w:sz="0" w:space="0" w:color="auto"/>
        <w:right w:val="none" w:sz="0" w:space="0" w:color="auto"/>
      </w:divBdr>
    </w:div>
    <w:div w:id="19649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CCIIO/Resources/Fact-Sheets-and-FAQs/Downloads/FAQ-Defrayal-State-Benefit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A27F-E90C-4B5F-A582-73468B7C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1435</Words>
  <Characters>8183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Young</dc:creator>
  <cp:keywords/>
  <dc:description/>
  <cp:lastModifiedBy>Van Tompkins</cp:lastModifiedBy>
  <cp:revision>2</cp:revision>
  <dcterms:created xsi:type="dcterms:W3CDTF">2021-07-27T14:06:00Z</dcterms:created>
  <dcterms:modified xsi:type="dcterms:W3CDTF">2021-07-27T14:06:00Z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978d1b-6ed2-4706-b37d-344011273722_Enabled">
    <vt:lpwstr>True</vt:lpwstr>
  </property>
  <property fmtid="{D5CDD505-2E9C-101B-9397-08002B2CF9AE}" pid="3" name="MSIP_Label_46978d1b-6ed2-4706-b37d-344011273722_SiteId">
    <vt:lpwstr>1791a7f1-2629-474f-8283-d4da7899c3be</vt:lpwstr>
  </property>
  <property fmtid="{D5CDD505-2E9C-101B-9397-08002B2CF9AE}" pid="4" name="MSIP_Label_46978d1b-6ed2-4706-b37d-344011273722_Owner">
    <vt:lpwstr>VTOMPKINS@scc.virginia.gov</vt:lpwstr>
  </property>
  <property fmtid="{D5CDD505-2E9C-101B-9397-08002B2CF9AE}" pid="5" name="MSIP_Label_46978d1b-6ed2-4706-b37d-344011273722_SetDate">
    <vt:lpwstr>2021-07-27T14:04:12.8012536Z</vt:lpwstr>
  </property>
  <property fmtid="{D5CDD505-2E9C-101B-9397-08002B2CF9AE}" pid="6" name="MSIP_Label_46978d1b-6ed2-4706-b37d-344011273722_Name">
    <vt:lpwstr>Public</vt:lpwstr>
  </property>
  <property fmtid="{D5CDD505-2E9C-101B-9397-08002B2CF9AE}" pid="7" name="MSIP_Label_46978d1b-6ed2-4706-b37d-344011273722_Application">
    <vt:lpwstr>Microsoft Azure Information Protection</vt:lpwstr>
  </property>
  <property fmtid="{D5CDD505-2E9C-101B-9397-08002B2CF9AE}" pid="8" name="MSIP_Label_46978d1b-6ed2-4706-b37d-344011273722_ActionId">
    <vt:lpwstr>b416c514-de87-4d11-beb0-4feb9adc441a</vt:lpwstr>
  </property>
  <property fmtid="{D5CDD505-2E9C-101B-9397-08002B2CF9AE}" pid="9" name="MSIP_Label_46978d1b-6ed2-4706-b37d-344011273722_Extended_MSFT_Method">
    <vt:lpwstr>Manual</vt:lpwstr>
  </property>
  <property fmtid="{D5CDD505-2E9C-101B-9397-08002B2CF9AE}" pid="10" name="Sensitivity">
    <vt:lpwstr>Public</vt:lpwstr>
  </property>
</Properties>
</file>