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1678" w14:textId="77777777" w:rsidR="00D66975" w:rsidRPr="002345BD" w:rsidRDefault="005E431F" w:rsidP="002345BD">
      <w:pPr>
        <w:pStyle w:val="BodyText"/>
        <w:ind w:left="720" w:right="520"/>
        <w:rPr>
          <w:rFonts w:ascii="Times New Roman" w:hAnsi="Times New Roman" w:cs="Times New Roman"/>
        </w:rPr>
      </w:pPr>
      <w:r w:rsidRPr="002345BD">
        <w:rPr>
          <w:rFonts w:ascii="Times New Roman" w:hAnsi="Times New Roman" w:cs="Times New Roman"/>
        </w:rPr>
        <w:t>Code of Virginia</w:t>
      </w:r>
    </w:p>
    <w:p w14:paraId="0A55AFFF" w14:textId="77777777" w:rsidR="002345BD" w:rsidRDefault="005E431F" w:rsidP="002345BD">
      <w:pPr>
        <w:pStyle w:val="BodyText"/>
        <w:spacing w:before="2"/>
        <w:ind w:left="720" w:right="520"/>
        <w:rPr>
          <w:rFonts w:ascii="Times New Roman" w:hAnsi="Times New Roman" w:cs="Times New Roman"/>
        </w:rPr>
      </w:pPr>
      <w:r w:rsidRPr="002345BD">
        <w:rPr>
          <w:rFonts w:ascii="Times New Roman" w:hAnsi="Times New Roman" w:cs="Times New Roman"/>
        </w:rPr>
        <w:t xml:space="preserve">Title 33.2. Highways and Other Surface Transportation Systems </w:t>
      </w:r>
    </w:p>
    <w:p w14:paraId="5B30B982" w14:textId="6D0C423B" w:rsidR="00D66975" w:rsidRPr="002345BD" w:rsidRDefault="005E431F" w:rsidP="002345BD">
      <w:pPr>
        <w:pStyle w:val="BodyText"/>
        <w:spacing w:before="2"/>
        <w:ind w:left="720" w:right="520"/>
        <w:rPr>
          <w:rFonts w:ascii="Times New Roman" w:hAnsi="Times New Roman" w:cs="Times New Roman"/>
        </w:rPr>
      </w:pPr>
      <w:r w:rsidRPr="002345BD">
        <w:rPr>
          <w:rFonts w:ascii="Times New Roman" w:hAnsi="Times New Roman" w:cs="Times New Roman"/>
        </w:rPr>
        <w:t>Chapter 2. Transportation Entities</w:t>
      </w:r>
    </w:p>
    <w:p w14:paraId="774987BD" w14:textId="77777777" w:rsidR="00D66975" w:rsidRPr="002345BD" w:rsidRDefault="00D66975" w:rsidP="002345BD">
      <w:pPr>
        <w:pStyle w:val="BodyText"/>
        <w:spacing w:before="12"/>
        <w:ind w:left="720" w:right="520"/>
        <w:rPr>
          <w:rFonts w:ascii="Times New Roman" w:hAnsi="Times New Roman" w:cs="Times New Roman"/>
        </w:rPr>
      </w:pPr>
    </w:p>
    <w:p w14:paraId="5AE963DB" w14:textId="19F30C26" w:rsidR="00D66975" w:rsidRDefault="005E431F" w:rsidP="002345BD">
      <w:pPr>
        <w:pStyle w:val="Title"/>
        <w:spacing w:line="184" w:lineRule="auto"/>
        <w:ind w:left="720" w:right="520"/>
        <w:rPr>
          <w:rFonts w:ascii="Times New Roman" w:hAnsi="Times New Roman" w:cs="Times New Roman"/>
          <w:sz w:val="24"/>
          <w:szCs w:val="24"/>
        </w:rPr>
      </w:pPr>
      <w:r w:rsidRPr="002345BD">
        <w:rPr>
          <w:rFonts w:ascii="Times New Roman" w:hAnsi="Times New Roman" w:cs="Times New Roman"/>
          <w:sz w:val="24"/>
          <w:szCs w:val="24"/>
        </w:rPr>
        <w:t>§ 33.2-214.1. Statewide prioritization process for project selection</w:t>
      </w:r>
    </w:p>
    <w:p w14:paraId="1C25D643" w14:textId="7299949D" w:rsidR="002345BD" w:rsidRDefault="002345BD" w:rsidP="002345BD">
      <w:pPr>
        <w:pStyle w:val="Title"/>
        <w:spacing w:line="184" w:lineRule="auto"/>
        <w:ind w:left="720" w:right="520"/>
        <w:rPr>
          <w:rFonts w:ascii="Times New Roman" w:hAnsi="Times New Roman" w:cs="Times New Roman"/>
          <w:sz w:val="24"/>
          <w:szCs w:val="24"/>
        </w:rPr>
      </w:pPr>
    </w:p>
    <w:p w14:paraId="7E03CEF9" w14:textId="44B0A002" w:rsidR="002345BD" w:rsidRPr="00A7186F" w:rsidRDefault="002345BD" w:rsidP="002345BD">
      <w:pPr>
        <w:pStyle w:val="Title"/>
        <w:ind w:left="720" w:right="518"/>
        <w:rPr>
          <w:rFonts w:ascii="Times New Roman" w:hAnsi="Times New Roman" w:cs="Times New Roman"/>
          <w:color w:val="FF0000"/>
          <w:sz w:val="24"/>
          <w:szCs w:val="24"/>
          <w:u w:val="single"/>
        </w:rPr>
      </w:pPr>
      <w:r w:rsidRPr="00A7186F">
        <w:rPr>
          <w:rFonts w:ascii="Times New Roman" w:hAnsi="Times New Roman" w:cs="Times New Roman"/>
          <w:color w:val="FF0000"/>
          <w:sz w:val="24"/>
          <w:szCs w:val="24"/>
          <w:u w:val="single"/>
        </w:rPr>
        <w:t>For purposes of this section “resiliency” means the capability to anticipate, prepare for, respond to, and recover from significant multi-hazard threats</w:t>
      </w:r>
      <w:r w:rsidR="00C91D91" w:rsidRPr="00A7186F">
        <w:rPr>
          <w:rFonts w:ascii="Times New Roman" w:hAnsi="Times New Roman" w:cs="Times New Roman"/>
          <w:color w:val="FF0000"/>
          <w:sz w:val="24"/>
          <w:szCs w:val="24"/>
          <w:u w:val="single"/>
        </w:rPr>
        <w:t xml:space="preserve">, </w:t>
      </w:r>
      <w:r w:rsidRPr="00A7186F">
        <w:rPr>
          <w:rFonts w:ascii="Times New Roman" w:hAnsi="Times New Roman" w:cs="Times New Roman"/>
          <w:color w:val="FF0000"/>
          <w:sz w:val="24"/>
          <w:szCs w:val="24"/>
          <w:u w:val="single"/>
        </w:rPr>
        <w:t xml:space="preserve">including but not limited to natural disasters, recurrent tidal flooding, permanent inundation resulting from relative sea level rise; </w:t>
      </w:r>
      <w:r w:rsidR="003C18D3">
        <w:rPr>
          <w:rFonts w:ascii="Times New Roman" w:hAnsi="Times New Roman" w:cs="Times New Roman"/>
          <w:color w:val="FF0000"/>
          <w:sz w:val="24"/>
          <w:szCs w:val="24"/>
          <w:u w:val="single"/>
        </w:rPr>
        <w:t>or</w:t>
      </w:r>
      <w:r w:rsidR="0074344B">
        <w:rPr>
          <w:rFonts w:ascii="Times New Roman" w:hAnsi="Times New Roman" w:cs="Times New Roman"/>
          <w:color w:val="FF0000"/>
          <w:sz w:val="24"/>
          <w:szCs w:val="24"/>
          <w:u w:val="single"/>
        </w:rPr>
        <w:t xml:space="preserve"> </w:t>
      </w:r>
      <w:r w:rsidR="00E024DF">
        <w:rPr>
          <w:rFonts w:ascii="Times New Roman" w:hAnsi="Times New Roman" w:cs="Times New Roman"/>
          <w:color w:val="FF0000"/>
          <w:sz w:val="24"/>
          <w:szCs w:val="24"/>
          <w:u w:val="single"/>
        </w:rPr>
        <w:t>increased precipitation</w:t>
      </w:r>
      <w:r w:rsidR="0074344B">
        <w:rPr>
          <w:rFonts w:ascii="Times New Roman" w:hAnsi="Times New Roman" w:cs="Times New Roman"/>
          <w:color w:val="FF0000"/>
          <w:sz w:val="24"/>
          <w:szCs w:val="24"/>
          <w:u w:val="single"/>
        </w:rPr>
        <w:t xml:space="preserve">; </w:t>
      </w:r>
      <w:r w:rsidRPr="00A7186F">
        <w:rPr>
          <w:rFonts w:ascii="Times New Roman" w:hAnsi="Times New Roman" w:cs="Times New Roman"/>
          <w:color w:val="FF0000"/>
          <w:sz w:val="24"/>
          <w:szCs w:val="24"/>
          <w:u w:val="single"/>
        </w:rPr>
        <w:t>with minimum damage to social well-being, health, the economy, and the environment.</w:t>
      </w:r>
    </w:p>
    <w:p w14:paraId="63971336" w14:textId="77777777" w:rsidR="002345BD" w:rsidRDefault="002345BD" w:rsidP="002345BD">
      <w:pPr>
        <w:pStyle w:val="Title"/>
        <w:ind w:left="720" w:right="518"/>
        <w:rPr>
          <w:rFonts w:ascii="Times New Roman" w:hAnsi="Times New Roman" w:cs="Times New Roman"/>
          <w:sz w:val="24"/>
          <w:szCs w:val="24"/>
          <w:u w:val="single"/>
        </w:rPr>
      </w:pPr>
    </w:p>
    <w:p w14:paraId="46A8AEB0" w14:textId="78852ADC" w:rsidR="00D66975" w:rsidRPr="002345BD" w:rsidRDefault="002345BD" w:rsidP="002345BD">
      <w:pPr>
        <w:ind w:left="720" w:right="520"/>
        <w:rPr>
          <w:rFonts w:ascii="Times New Roman" w:hAnsi="Times New Roman" w:cs="Times New Roman"/>
          <w:sz w:val="24"/>
          <w:szCs w:val="24"/>
        </w:rPr>
      </w:pPr>
      <w:r w:rsidRPr="002345BD">
        <w:rPr>
          <w:rFonts w:ascii="Times New Roman" w:hAnsi="Times New Roman" w:cs="Times New Roman"/>
          <w:sz w:val="24"/>
          <w:szCs w:val="24"/>
        </w:rPr>
        <w:t>A.</w:t>
      </w:r>
      <w:r>
        <w:rPr>
          <w:rFonts w:ascii="Times New Roman" w:hAnsi="Times New Roman" w:cs="Times New Roman"/>
          <w:sz w:val="24"/>
          <w:szCs w:val="24"/>
        </w:rPr>
        <w:t xml:space="preserve"> </w:t>
      </w:r>
      <w:r w:rsidR="005E431F" w:rsidRPr="002345BD">
        <w:rPr>
          <w:rFonts w:ascii="Times New Roman" w:hAnsi="Times New Roman" w:cs="Times New Roman"/>
          <w:sz w:val="24"/>
          <w:szCs w:val="24"/>
        </w:rPr>
        <w:t>The General Assembly declares it to be in the public interest that a prioritization process for projects funded by the Commonwealth Transportation Board be developed and implemented to improve the efficiency</w:t>
      </w:r>
      <w:r w:rsidR="00071F91">
        <w:rPr>
          <w:rFonts w:ascii="Times New Roman" w:hAnsi="Times New Roman" w:cs="Times New Roman"/>
          <w:color w:val="FF0000"/>
          <w:sz w:val="24"/>
          <w:szCs w:val="24"/>
        </w:rPr>
        <w:t xml:space="preserve">, </w:t>
      </w:r>
      <w:r w:rsidR="005E431F" w:rsidRPr="002345BD">
        <w:rPr>
          <w:rFonts w:ascii="Times New Roman" w:hAnsi="Times New Roman" w:cs="Times New Roman"/>
          <w:sz w:val="24"/>
          <w:szCs w:val="24"/>
        </w:rPr>
        <w:t xml:space="preserve"> </w:t>
      </w:r>
      <w:r w:rsidR="005E431F" w:rsidRPr="00071F91">
        <w:rPr>
          <w:rFonts w:ascii="Times New Roman" w:hAnsi="Times New Roman" w:cs="Times New Roman"/>
          <w:strike/>
          <w:sz w:val="24"/>
          <w:szCs w:val="24"/>
        </w:rPr>
        <w:t>and</w:t>
      </w:r>
      <w:r w:rsidR="005E431F" w:rsidRPr="002345BD">
        <w:rPr>
          <w:rFonts w:ascii="Times New Roman" w:hAnsi="Times New Roman" w:cs="Times New Roman"/>
          <w:sz w:val="24"/>
          <w:szCs w:val="24"/>
        </w:rPr>
        <w:t xml:space="preserve"> effectiveness</w:t>
      </w:r>
      <w:r w:rsidR="00071F91">
        <w:rPr>
          <w:rFonts w:ascii="Times New Roman" w:hAnsi="Times New Roman" w:cs="Times New Roman"/>
          <w:color w:val="FF0000"/>
          <w:sz w:val="24"/>
          <w:szCs w:val="24"/>
        </w:rPr>
        <w:t xml:space="preserve"> and resiliency</w:t>
      </w:r>
      <w:r w:rsidR="005E431F" w:rsidRPr="002345BD">
        <w:rPr>
          <w:rFonts w:ascii="Times New Roman" w:hAnsi="Times New Roman" w:cs="Times New Roman"/>
          <w:sz w:val="24"/>
          <w:szCs w:val="24"/>
        </w:rPr>
        <w:t xml:space="preserve"> of the state's transportation system, transportation safety, transportation accessibility for people and freight, environmental quality, and </w:t>
      </w:r>
      <w:r w:rsidR="005E431F" w:rsidRPr="002345BD">
        <w:rPr>
          <w:rFonts w:ascii="Times New Roman" w:hAnsi="Times New Roman" w:cs="Times New Roman"/>
          <w:spacing w:val="-3"/>
          <w:sz w:val="24"/>
          <w:szCs w:val="24"/>
        </w:rPr>
        <w:t xml:space="preserve">economic </w:t>
      </w:r>
      <w:r w:rsidR="005E431F" w:rsidRPr="002345BD">
        <w:rPr>
          <w:rFonts w:ascii="Times New Roman" w:hAnsi="Times New Roman" w:cs="Times New Roman"/>
          <w:sz w:val="24"/>
          <w:szCs w:val="24"/>
        </w:rPr>
        <w:t>development in the Commonwealth.</w:t>
      </w:r>
    </w:p>
    <w:p w14:paraId="50425F84" w14:textId="59BBCEA5" w:rsidR="00D66975" w:rsidRPr="002345BD" w:rsidRDefault="002345BD" w:rsidP="002345BD">
      <w:pPr>
        <w:pStyle w:val="ListParagraph"/>
        <w:tabs>
          <w:tab w:val="left" w:pos="373"/>
        </w:tabs>
        <w:spacing w:before="199"/>
        <w:ind w:left="720" w:right="520"/>
        <w:rPr>
          <w:rFonts w:ascii="Times New Roman" w:hAnsi="Times New Roman" w:cs="Times New Roman"/>
          <w:sz w:val="24"/>
          <w:szCs w:val="24"/>
        </w:rPr>
      </w:pPr>
      <w:r>
        <w:rPr>
          <w:rFonts w:ascii="Times New Roman" w:hAnsi="Times New Roman" w:cs="Times New Roman"/>
          <w:sz w:val="24"/>
          <w:szCs w:val="24"/>
        </w:rPr>
        <w:t xml:space="preserve">B. </w:t>
      </w:r>
      <w:r w:rsidR="005E431F" w:rsidRPr="002345BD">
        <w:rPr>
          <w:rFonts w:ascii="Times New Roman" w:hAnsi="Times New Roman" w:cs="Times New Roman"/>
          <w:sz w:val="24"/>
          <w:szCs w:val="24"/>
        </w:rPr>
        <w:t xml:space="preserve">Subject to the limitations in subsection C, the Commonwealth Transportation Board shall develop, in accordance with federal transportation requirements, and in cooperation with metropolitan planning organizations wholly within the Commonwealth and with the Northern Virginia Transportation Authority, a statewide prioritization process for the use of funds allocated pursuant to §§ </w:t>
      </w:r>
      <w:hyperlink r:id="rId7">
        <w:r w:rsidR="005E431F" w:rsidRPr="002345BD">
          <w:rPr>
            <w:rFonts w:ascii="Times New Roman" w:hAnsi="Times New Roman" w:cs="Times New Roman"/>
            <w:color w:val="3398DA"/>
            <w:sz w:val="24"/>
            <w:szCs w:val="24"/>
          </w:rPr>
          <w:t>33.2-358</w:t>
        </w:r>
      </w:hyperlink>
      <w:r w:rsidR="005E431F" w:rsidRPr="002345BD">
        <w:rPr>
          <w:rFonts w:ascii="Times New Roman" w:hAnsi="Times New Roman" w:cs="Times New Roman"/>
          <w:sz w:val="24"/>
          <w:szCs w:val="24"/>
        </w:rPr>
        <w:t xml:space="preserve">, </w:t>
      </w:r>
      <w:hyperlink r:id="rId8">
        <w:r w:rsidR="005E431F" w:rsidRPr="002345BD">
          <w:rPr>
            <w:rFonts w:ascii="Times New Roman" w:hAnsi="Times New Roman" w:cs="Times New Roman"/>
            <w:color w:val="3398DA"/>
            <w:sz w:val="24"/>
            <w:szCs w:val="24"/>
          </w:rPr>
          <w:t>33.2-370</w:t>
        </w:r>
      </w:hyperlink>
      <w:r w:rsidR="005E431F" w:rsidRPr="002345BD">
        <w:rPr>
          <w:rFonts w:ascii="Times New Roman" w:hAnsi="Times New Roman" w:cs="Times New Roman"/>
          <w:sz w:val="24"/>
          <w:szCs w:val="24"/>
        </w:rPr>
        <w:t xml:space="preserve">, and </w:t>
      </w:r>
      <w:hyperlink r:id="rId9">
        <w:r w:rsidR="005E431F" w:rsidRPr="002345BD">
          <w:rPr>
            <w:rFonts w:ascii="Times New Roman" w:hAnsi="Times New Roman" w:cs="Times New Roman"/>
            <w:color w:val="3398DA"/>
            <w:sz w:val="24"/>
            <w:szCs w:val="24"/>
          </w:rPr>
          <w:t>33.2-371</w:t>
        </w:r>
      </w:hyperlink>
      <w:r w:rsidR="005E431F" w:rsidRPr="002345BD">
        <w:rPr>
          <w:rFonts w:ascii="Times New Roman" w:hAnsi="Times New Roman" w:cs="Times New Roman"/>
          <w:color w:val="3398DA"/>
          <w:sz w:val="24"/>
          <w:szCs w:val="24"/>
        </w:rPr>
        <w:t xml:space="preserve"> </w:t>
      </w:r>
      <w:r w:rsidR="005E431F" w:rsidRPr="002345BD">
        <w:rPr>
          <w:rFonts w:ascii="Times New Roman" w:hAnsi="Times New Roman" w:cs="Times New Roman"/>
          <w:sz w:val="24"/>
          <w:szCs w:val="24"/>
        </w:rPr>
        <w:t xml:space="preserve">or apportioned pursuant to 23 U.S.C. </w:t>
      </w:r>
      <w:r w:rsidR="005E431F" w:rsidRPr="002345BD">
        <w:rPr>
          <w:rFonts w:ascii="Times New Roman" w:hAnsi="Times New Roman" w:cs="Times New Roman"/>
          <w:spacing w:val="-18"/>
          <w:sz w:val="24"/>
          <w:szCs w:val="24"/>
        </w:rPr>
        <w:t>§</w:t>
      </w:r>
    </w:p>
    <w:p w14:paraId="1D573308" w14:textId="4464149B" w:rsidR="00D66975" w:rsidRPr="002345BD" w:rsidRDefault="005E431F" w:rsidP="002345BD">
      <w:pPr>
        <w:pStyle w:val="BodyText"/>
        <w:spacing w:before="7"/>
        <w:ind w:left="720" w:right="520"/>
        <w:rPr>
          <w:rFonts w:ascii="Times New Roman" w:hAnsi="Times New Roman" w:cs="Times New Roman"/>
        </w:rPr>
      </w:pPr>
      <w:r w:rsidRPr="002345BD">
        <w:rPr>
          <w:rFonts w:ascii="Times New Roman" w:hAnsi="Times New Roman" w:cs="Times New Roman"/>
        </w:rPr>
        <w:t xml:space="preserve">104. Such prioritization process shall be used for the development of the Six-Year Improvement Program pursuant to § </w:t>
      </w:r>
      <w:hyperlink r:id="rId10">
        <w:r w:rsidRPr="002345BD">
          <w:rPr>
            <w:rFonts w:ascii="Times New Roman" w:hAnsi="Times New Roman" w:cs="Times New Roman"/>
            <w:color w:val="3398DA"/>
          </w:rPr>
          <w:t>33.2-214</w:t>
        </w:r>
      </w:hyperlink>
      <w:r w:rsidRPr="002345BD">
        <w:rPr>
          <w:rFonts w:ascii="Times New Roman" w:hAnsi="Times New Roman" w:cs="Times New Roman"/>
          <w:color w:val="3398DA"/>
        </w:rPr>
        <w:t xml:space="preserve"> </w:t>
      </w:r>
      <w:r w:rsidRPr="002345BD">
        <w:rPr>
          <w:rFonts w:ascii="Times New Roman" w:hAnsi="Times New Roman" w:cs="Times New Roman"/>
        </w:rPr>
        <w:t xml:space="preserve">and shall consider, at a minimum, highway, transit, rail, roadway, technology operational improvements, </w:t>
      </w:r>
      <w:r w:rsidR="00470CA3">
        <w:rPr>
          <w:rFonts w:ascii="Times New Roman" w:hAnsi="Times New Roman" w:cs="Times New Roman"/>
          <w:color w:val="FF0000"/>
        </w:rPr>
        <w:t xml:space="preserve">resiliency </w:t>
      </w:r>
      <w:r w:rsidRPr="002345BD">
        <w:rPr>
          <w:rFonts w:ascii="Times New Roman" w:hAnsi="Times New Roman" w:cs="Times New Roman"/>
        </w:rPr>
        <w:t>and transportation demand management strategies.</w:t>
      </w:r>
    </w:p>
    <w:p w14:paraId="403465CB" w14:textId="1C1AE584" w:rsidR="00234862" w:rsidRPr="002345BD" w:rsidRDefault="002345BD" w:rsidP="002345BD">
      <w:pPr>
        <w:pStyle w:val="ListParagraph"/>
        <w:tabs>
          <w:tab w:val="left" w:pos="354"/>
        </w:tabs>
        <w:spacing w:before="198"/>
        <w:ind w:left="720" w:right="520"/>
        <w:rPr>
          <w:rFonts w:ascii="Times New Roman" w:hAnsi="Times New Roman" w:cs="Times New Roman"/>
          <w:sz w:val="24"/>
          <w:szCs w:val="24"/>
        </w:rPr>
      </w:pPr>
      <w:r>
        <w:rPr>
          <w:rFonts w:ascii="Times New Roman" w:hAnsi="Times New Roman" w:cs="Times New Roman"/>
          <w:sz w:val="24"/>
          <w:szCs w:val="24"/>
        </w:rPr>
        <w:t xml:space="preserve">1. </w:t>
      </w:r>
      <w:r w:rsidR="001B6F5D" w:rsidRPr="00A7186F">
        <w:rPr>
          <w:rFonts w:ascii="Times New Roman" w:hAnsi="Times New Roman" w:cs="Times New Roman"/>
          <w:color w:val="FF0000"/>
          <w:sz w:val="24"/>
          <w:szCs w:val="24"/>
          <w:u w:val="single"/>
        </w:rPr>
        <w:t xml:space="preserve">For projects submitted after </w:t>
      </w:r>
      <w:r w:rsidR="00C91D91" w:rsidRPr="00A7186F">
        <w:rPr>
          <w:rFonts w:ascii="Times New Roman" w:hAnsi="Times New Roman" w:cs="Times New Roman"/>
          <w:color w:val="FF0000"/>
          <w:sz w:val="24"/>
          <w:szCs w:val="24"/>
          <w:u w:val="single"/>
        </w:rPr>
        <w:t>July 1, 202</w:t>
      </w:r>
      <w:r w:rsidR="001331DE">
        <w:rPr>
          <w:rFonts w:ascii="Times New Roman" w:hAnsi="Times New Roman" w:cs="Times New Roman"/>
          <w:color w:val="FF0000"/>
          <w:sz w:val="24"/>
          <w:szCs w:val="24"/>
          <w:u w:val="single"/>
        </w:rPr>
        <w:t>2</w:t>
      </w:r>
      <w:r w:rsidR="00C91D91" w:rsidRPr="00A7186F">
        <w:rPr>
          <w:rFonts w:ascii="Times New Roman" w:hAnsi="Times New Roman" w:cs="Times New Roman"/>
          <w:color w:val="FF0000"/>
          <w:sz w:val="24"/>
          <w:szCs w:val="24"/>
          <w:u w:val="single"/>
        </w:rPr>
        <w:t xml:space="preserve">, </w:t>
      </w:r>
      <w:r w:rsidR="005E431F" w:rsidRPr="00A7186F">
        <w:rPr>
          <w:rFonts w:ascii="Times New Roman" w:hAnsi="Times New Roman" w:cs="Times New Roman"/>
          <w:strike/>
          <w:color w:val="000000" w:themeColor="text1"/>
          <w:sz w:val="24"/>
          <w:szCs w:val="24"/>
        </w:rPr>
        <w:t>The</w:t>
      </w:r>
      <w:r w:rsidR="005E431F" w:rsidRPr="00A7186F">
        <w:rPr>
          <w:rFonts w:ascii="Times New Roman" w:hAnsi="Times New Roman" w:cs="Times New Roman"/>
          <w:color w:val="FF0000"/>
          <w:sz w:val="24"/>
          <w:szCs w:val="24"/>
        </w:rPr>
        <w:t xml:space="preserve"> </w:t>
      </w:r>
      <w:proofErr w:type="spellStart"/>
      <w:r w:rsidR="00C91D91" w:rsidRPr="00A7186F">
        <w:rPr>
          <w:rFonts w:ascii="Times New Roman" w:hAnsi="Times New Roman" w:cs="Times New Roman"/>
          <w:color w:val="FF0000"/>
          <w:sz w:val="24"/>
          <w:szCs w:val="24"/>
          <w:u w:val="single"/>
        </w:rPr>
        <w:t>the</w:t>
      </w:r>
      <w:proofErr w:type="spellEnd"/>
      <w:r w:rsidR="00C91D91" w:rsidRPr="00A7186F">
        <w:rPr>
          <w:rFonts w:ascii="Times New Roman" w:hAnsi="Times New Roman" w:cs="Times New Roman"/>
          <w:color w:val="FF0000"/>
          <w:sz w:val="24"/>
          <w:szCs w:val="24"/>
          <w:u w:val="single"/>
        </w:rPr>
        <w:t xml:space="preserve"> Commonwealth Transportation Board shall </w:t>
      </w:r>
      <w:r w:rsidR="008A13B9" w:rsidRPr="00A7186F">
        <w:rPr>
          <w:rFonts w:ascii="Times New Roman" w:hAnsi="Times New Roman" w:cs="Times New Roman"/>
          <w:color w:val="FF0000"/>
          <w:sz w:val="24"/>
          <w:szCs w:val="24"/>
          <w:u w:val="single"/>
        </w:rPr>
        <w:t>utilize</w:t>
      </w:r>
      <w:r w:rsidR="00C91D91" w:rsidRPr="00A7186F">
        <w:rPr>
          <w:rFonts w:ascii="Times New Roman" w:hAnsi="Times New Roman" w:cs="Times New Roman"/>
          <w:color w:val="FF0000"/>
          <w:sz w:val="24"/>
          <w:szCs w:val="24"/>
          <w:u w:val="single"/>
        </w:rPr>
        <w:t xml:space="preserve"> a </w:t>
      </w:r>
      <w:r w:rsidR="005E431F" w:rsidRPr="002345BD">
        <w:rPr>
          <w:rFonts w:ascii="Times New Roman" w:hAnsi="Times New Roman" w:cs="Times New Roman"/>
          <w:sz w:val="24"/>
          <w:szCs w:val="24"/>
        </w:rPr>
        <w:t xml:space="preserve">prioritization process </w:t>
      </w:r>
      <w:r w:rsidR="005E431F" w:rsidRPr="00C91D91">
        <w:rPr>
          <w:rFonts w:ascii="Times New Roman" w:hAnsi="Times New Roman" w:cs="Times New Roman"/>
          <w:strike/>
          <w:sz w:val="24"/>
          <w:szCs w:val="24"/>
        </w:rPr>
        <w:t>shall be</w:t>
      </w:r>
      <w:r w:rsidR="005E431F" w:rsidRPr="002345BD">
        <w:rPr>
          <w:rFonts w:ascii="Times New Roman" w:hAnsi="Times New Roman" w:cs="Times New Roman"/>
          <w:sz w:val="24"/>
          <w:szCs w:val="24"/>
        </w:rPr>
        <w:t xml:space="preserve"> based on an objective and quantifiable analysis that considers, at a minimum, the following factors relative to the cost of the project or strategy: congestion mitigation, economic development, accessibility, </w:t>
      </w:r>
      <w:r w:rsidR="00234862" w:rsidRPr="000253A6">
        <w:rPr>
          <w:rFonts w:ascii="Times New Roman" w:hAnsi="Times New Roman" w:cs="Times New Roman"/>
          <w:color w:val="FF0000"/>
          <w:sz w:val="24"/>
          <w:szCs w:val="24"/>
          <w:u w:val="single"/>
        </w:rPr>
        <w:t>resilienc</w:t>
      </w:r>
      <w:r w:rsidRPr="000253A6">
        <w:rPr>
          <w:rFonts w:ascii="Times New Roman" w:hAnsi="Times New Roman" w:cs="Times New Roman"/>
          <w:color w:val="FF0000"/>
          <w:sz w:val="24"/>
          <w:szCs w:val="24"/>
          <w:u w:val="single"/>
        </w:rPr>
        <w:t>y,</w:t>
      </w:r>
      <w:r>
        <w:rPr>
          <w:rFonts w:ascii="Times New Roman" w:hAnsi="Times New Roman" w:cs="Times New Roman"/>
          <w:color w:val="000000" w:themeColor="text1"/>
          <w:sz w:val="24"/>
          <w:szCs w:val="24"/>
          <w:u w:val="single"/>
        </w:rPr>
        <w:t xml:space="preserve"> </w:t>
      </w:r>
      <w:r w:rsidR="005E431F" w:rsidRPr="002345BD">
        <w:rPr>
          <w:rFonts w:ascii="Times New Roman" w:hAnsi="Times New Roman" w:cs="Times New Roman"/>
          <w:sz w:val="24"/>
          <w:szCs w:val="24"/>
        </w:rPr>
        <w:t>safety, and environmental</w:t>
      </w:r>
      <w:r w:rsidR="005E431F" w:rsidRPr="002345BD">
        <w:rPr>
          <w:rFonts w:ascii="Times New Roman" w:hAnsi="Times New Roman" w:cs="Times New Roman"/>
          <w:spacing w:val="5"/>
          <w:sz w:val="24"/>
          <w:szCs w:val="24"/>
        </w:rPr>
        <w:t xml:space="preserve"> </w:t>
      </w:r>
      <w:r w:rsidR="005E431F" w:rsidRPr="002345BD">
        <w:rPr>
          <w:rFonts w:ascii="Times New Roman" w:hAnsi="Times New Roman" w:cs="Times New Roman"/>
          <w:spacing w:val="-3"/>
          <w:sz w:val="24"/>
          <w:szCs w:val="24"/>
        </w:rPr>
        <w:t>quality.</w:t>
      </w:r>
    </w:p>
    <w:p w14:paraId="7821E67C" w14:textId="1D8B44C3" w:rsidR="00D66975" w:rsidRPr="002345BD" w:rsidRDefault="002345BD" w:rsidP="002345BD">
      <w:pPr>
        <w:pStyle w:val="ListParagraph"/>
        <w:tabs>
          <w:tab w:val="left" w:pos="354"/>
        </w:tabs>
        <w:spacing w:before="196"/>
        <w:ind w:left="720" w:right="520"/>
        <w:rPr>
          <w:rFonts w:ascii="Times New Roman" w:hAnsi="Times New Roman" w:cs="Times New Roman"/>
          <w:sz w:val="24"/>
          <w:szCs w:val="24"/>
        </w:rPr>
      </w:pPr>
      <w:r>
        <w:rPr>
          <w:rFonts w:ascii="Times New Roman" w:hAnsi="Times New Roman" w:cs="Times New Roman"/>
          <w:sz w:val="24"/>
          <w:szCs w:val="24"/>
        </w:rPr>
        <w:t xml:space="preserve">2. </w:t>
      </w:r>
      <w:r w:rsidR="005E431F" w:rsidRPr="002345BD">
        <w:rPr>
          <w:rFonts w:ascii="Times New Roman" w:hAnsi="Times New Roman" w:cs="Times New Roman"/>
          <w:sz w:val="24"/>
          <w:szCs w:val="24"/>
        </w:rPr>
        <w:t xml:space="preserve">Prior to the analysis in subdivision 1, candidate projects and strategies shall be screened by </w:t>
      </w:r>
      <w:r w:rsidR="005E431F" w:rsidRPr="002345BD">
        <w:rPr>
          <w:rFonts w:ascii="Times New Roman" w:hAnsi="Times New Roman" w:cs="Times New Roman"/>
          <w:spacing w:val="-6"/>
          <w:sz w:val="24"/>
          <w:szCs w:val="24"/>
        </w:rPr>
        <w:t xml:space="preserve">the </w:t>
      </w:r>
      <w:r w:rsidR="005E431F" w:rsidRPr="002345BD">
        <w:rPr>
          <w:rFonts w:ascii="Times New Roman" w:hAnsi="Times New Roman" w:cs="Times New Roman"/>
          <w:sz w:val="24"/>
          <w:szCs w:val="24"/>
        </w:rPr>
        <w:t xml:space="preserve">Commonwealth Transportation Board to determine whether they are consistent with the assessment of capacity needs for all for corridors of statewide significance, regional networks, and improvements to promote urban development areas established pursuant to § </w:t>
      </w:r>
      <w:hyperlink r:id="rId11">
        <w:r w:rsidR="005E431F" w:rsidRPr="002345BD">
          <w:rPr>
            <w:rFonts w:ascii="Times New Roman" w:hAnsi="Times New Roman" w:cs="Times New Roman"/>
            <w:color w:val="3398DA"/>
            <w:sz w:val="24"/>
            <w:szCs w:val="24"/>
          </w:rPr>
          <w:t>15.2-2223.1</w:t>
        </w:r>
      </w:hyperlink>
      <w:r w:rsidR="005E431F" w:rsidRPr="002345BD">
        <w:rPr>
          <w:rFonts w:ascii="Times New Roman" w:hAnsi="Times New Roman" w:cs="Times New Roman"/>
          <w:sz w:val="24"/>
          <w:szCs w:val="24"/>
        </w:rPr>
        <w:t xml:space="preserve">, undertaken in the Statewide Transportation Plan in accordance with § </w:t>
      </w:r>
      <w:hyperlink r:id="rId12">
        <w:r w:rsidR="005E431F" w:rsidRPr="002345BD">
          <w:rPr>
            <w:rFonts w:ascii="Times New Roman" w:hAnsi="Times New Roman" w:cs="Times New Roman"/>
            <w:color w:val="3398DA"/>
            <w:sz w:val="24"/>
            <w:szCs w:val="24"/>
          </w:rPr>
          <w:t>33.2-353</w:t>
        </w:r>
      </w:hyperlink>
      <w:r w:rsidR="005E431F" w:rsidRPr="002345BD">
        <w:rPr>
          <w:rFonts w:ascii="Times New Roman" w:hAnsi="Times New Roman" w:cs="Times New Roman"/>
          <w:sz w:val="24"/>
          <w:szCs w:val="24"/>
        </w:rPr>
        <w:t>.</w:t>
      </w:r>
    </w:p>
    <w:p w14:paraId="47941217" w14:textId="39CB7E35" w:rsidR="00D66975" w:rsidRPr="002345BD" w:rsidRDefault="002345BD" w:rsidP="002345BD">
      <w:pPr>
        <w:pStyle w:val="ListParagraph"/>
        <w:tabs>
          <w:tab w:val="left" w:pos="354"/>
        </w:tabs>
        <w:spacing w:before="200"/>
        <w:ind w:left="720" w:right="520"/>
        <w:rPr>
          <w:rFonts w:ascii="Times New Roman" w:hAnsi="Times New Roman" w:cs="Times New Roman"/>
          <w:sz w:val="24"/>
          <w:szCs w:val="24"/>
        </w:rPr>
      </w:pPr>
      <w:r>
        <w:rPr>
          <w:rFonts w:ascii="Times New Roman" w:hAnsi="Times New Roman" w:cs="Times New Roman"/>
          <w:sz w:val="24"/>
          <w:szCs w:val="24"/>
        </w:rPr>
        <w:t xml:space="preserve">3. </w:t>
      </w:r>
      <w:r w:rsidR="005E431F" w:rsidRPr="002345BD">
        <w:rPr>
          <w:rFonts w:ascii="Times New Roman" w:hAnsi="Times New Roman" w:cs="Times New Roman"/>
          <w:sz w:val="24"/>
          <w:szCs w:val="24"/>
        </w:rPr>
        <w:t xml:space="preserve">The Commonwealth Transportation Board shall weight the factors used in subdivision 1 for each of the state's highway construction districts. The Commonwealth Transportation Board </w:t>
      </w:r>
      <w:r w:rsidR="005E431F" w:rsidRPr="002345BD">
        <w:rPr>
          <w:rFonts w:ascii="Times New Roman" w:hAnsi="Times New Roman" w:cs="Times New Roman"/>
          <w:spacing w:val="-6"/>
          <w:sz w:val="24"/>
          <w:szCs w:val="24"/>
        </w:rPr>
        <w:t xml:space="preserve">may </w:t>
      </w:r>
      <w:r w:rsidR="005E431F" w:rsidRPr="002345BD">
        <w:rPr>
          <w:rFonts w:ascii="Times New Roman" w:hAnsi="Times New Roman" w:cs="Times New Roman"/>
          <w:sz w:val="24"/>
          <w:szCs w:val="24"/>
        </w:rPr>
        <w:t>assign different weights to the factors, within each highway construction district, based on the unique needs and qualities of each highway construction district.</w:t>
      </w:r>
    </w:p>
    <w:p w14:paraId="1686DDB1" w14:textId="742A6531" w:rsidR="00D66975" w:rsidRPr="002345BD" w:rsidRDefault="002345BD" w:rsidP="002345BD">
      <w:pPr>
        <w:pStyle w:val="ListParagraph"/>
        <w:tabs>
          <w:tab w:val="left" w:pos="354"/>
        </w:tabs>
        <w:spacing w:before="197"/>
        <w:ind w:left="720" w:right="520"/>
        <w:rPr>
          <w:rFonts w:ascii="Times New Roman" w:hAnsi="Times New Roman" w:cs="Times New Roman"/>
          <w:sz w:val="24"/>
          <w:szCs w:val="24"/>
        </w:rPr>
      </w:pPr>
      <w:r>
        <w:rPr>
          <w:rFonts w:ascii="Times New Roman" w:hAnsi="Times New Roman" w:cs="Times New Roman"/>
          <w:sz w:val="24"/>
          <w:szCs w:val="24"/>
        </w:rPr>
        <w:t xml:space="preserve">4. </w:t>
      </w:r>
      <w:r w:rsidR="005E431F" w:rsidRPr="002345BD">
        <w:rPr>
          <w:rFonts w:ascii="Times New Roman" w:hAnsi="Times New Roman" w:cs="Times New Roman"/>
          <w:sz w:val="24"/>
          <w:szCs w:val="24"/>
        </w:rPr>
        <w:t xml:space="preserve">The Commonwealth Transportation Board shall solicit input from localities, metropolitan planning organizations, transit authorities, transportation authorities, and other stakeholders </w:t>
      </w:r>
      <w:r w:rsidR="005E431F" w:rsidRPr="002345BD">
        <w:rPr>
          <w:rFonts w:ascii="Times New Roman" w:hAnsi="Times New Roman" w:cs="Times New Roman"/>
          <w:spacing w:val="-9"/>
          <w:sz w:val="24"/>
          <w:szCs w:val="24"/>
        </w:rPr>
        <w:t xml:space="preserve">in </w:t>
      </w:r>
      <w:r w:rsidR="005E431F" w:rsidRPr="002345BD">
        <w:rPr>
          <w:rFonts w:ascii="Times New Roman" w:hAnsi="Times New Roman" w:cs="Times New Roman"/>
          <w:sz w:val="24"/>
          <w:szCs w:val="24"/>
        </w:rPr>
        <w:t>its development of the prioritization process pursuant to this section. Further, the Board shall explicitly consider input provided by an applicable metropolitan planning organization or the Northern Virginia Transportation Authority when developing the weighting of factors pursuant to subdivision 3 for a metropolitan planning area with a population over 200,000 individuals.</w:t>
      </w:r>
    </w:p>
    <w:p w14:paraId="4B2BCEDA" w14:textId="014791D4" w:rsidR="00D66975" w:rsidRPr="002345BD" w:rsidRDefault="002345BD" w:rsidP="002345BD">
      <w:pPr>
        <w:pStyle w:val="ListParagraph"/>
        <w:tabs>
          <w:tab w:val="left" w:pos="380"/>
        </w:tabs>
        <w:spacing w:before="201"/>
        <w:ind w:left="720" w:right="520"/>
        <w:rPr>
          <w:rFonts w:ascii="Times New Roman" w:hAnsi="Times New Roman" w:cs="Times New Roman"/>
          <w:sz w:val="24"/>
          <w:szCs w:val="24"/>
        </w:rPr>
      </w:pPr>
      <w:r>
        <w:rPr>
          <w:rFonts w:ascii="Times New Roman" w:hAnsi="Times New Roman" w:cs="Times New Roman"/>
          <w:sz w:val="24"/>
          <w:szCs w:val="24"/>
        </w:rPr>
        <w:t xml:space="preserve">C. </w:t>
      </w:r>
      <w:r w:rsidR="005E431F" w:rsidRPr="002345BD">
        <w:rPr>
          <w:rFonts w:ascii="Times New Roman" w:hAnsi="Times New Roman" w:cs="Times New Roman"/>
          <w:sz w:val="24"/>
          <w:szCs w:val="24"/>
        </w:rPr>
        <w:t xml:space="preserve">The prioritization process developed under subsection B shall not apply to the following: projects or activities undertaken pursuant to § </w:t>
      </w:r>
      <w:hyperlink r:id="rId13">
        <w:r w:rsidR="005E431F" w:rsidRPr="002345BD">
          <w:rPr>
            <w:rFonts w:ascii="Times New Roman" w:hAnsi="Times New Roman" w:cs="Times New Roman"/>
            <w:color w:val="3398DA"/>
            <w:sz w:val="24"/>
            <w:szCs w:val="24"/>
          </w:rPr>
          <w:t>33.2-352</w:t>
        </w:r>
      </w:hyperlink>
      <w:hyperlink r:id="rId14">
        <w:r w:rsidR="005E431F" w:rsidRPr="002345BD">
          <w:rPr>
            <w:rFonts w:ascii="Times New Roman" w:hAnsi="Times New Roman" w:cs="Times New Roman"/>
            <w:sz w:val="24"/>
            <w:szCs w:val="24"/>
          </w:rPr>
          <w:t>;</w:t>
        </w:r>
      </w:hyperlink>
      <w:r w:rsidR="005E431F" w:rsidRPr="002345BD">
        <w:rPr>
          <w:rFonts w:ascii="Times New Roman" w:hAnsi="Times New Roman" w:cs="Times New Roman"/>
          <w:sz w:val="24"/>
          <w:szCs w:val="24"/>
        </w:rPr>
        <w:t xml:space="preserve">projects funded by the Congestion </w:t>
      </w:r>
      <w:r w:rsidR="005E431F" w:rsidRPr="002345BD">
        <w:rPr>
          <w:rFonts w:ascii="Times New Roman" w:hAnsi="Times New Roman" w:cs="Times New Roman"/>
          <w:sz w:val="24"/>
          <w:szCs w:val="24"/>
        </w:rPr>
        <w:lastRenderedPageBreak/>
        <w:t xml:space="preserve">Mitigation Air Quality funds apportioned to the state pursuant to 23 U.S.C. § 104(b)(4) and </w:t>
      </w:r>
      <w:r w:rsidR="005E431F" w:rsidRPr="002345BD">
        <w:rPr>
          <w:rFonts w:ascii="Times New Roman" w:hAnsi="Times New Roman" w:cs="Times New Roman"/>
          <w:spacing w:val="-4"/>
          <w:sz w:val="24"/>
          <w:szCs w:val="24"/>
        </w:rPr>
        <w:t xml:space="preserve">state </w:t>
      </w:r>
      <w:r w:rsidR="005E431F" w:rsidRPr="002345BD">
        <w:rPr>
          <w:rFonts w:ascii="Times New Roman" w:hAnsi="Times New Roman" w:cs="Times New Roman"/>
          <w:sz w:val="24"/>
          <w:szCs w:val="24"/>
        </w:rPr>
        <w:t>matching funds; projects funded by the Highway Safety Improvement Program funds apportioned to the state pursuant to 23 U.S.C. § 104(b)(3) and state matching funds; projects</w:t>
      </w:r>
      <w:r w:rsidR="006510C5" w:rsidRPr="002345BD">
        <w:rPr>
          <w:rFonts w:ascii="Times New Roman" w:hAnsi="Times New Roman" w:cs="Times New Roman"/>
          <w:sz w:val="24"/>
          <w:szCs w:val="24"/>
        </w:rPr>
        <w:t xml:space="preserve"> </w:t>
      </w:r>
      <w:r w:rsidR="005E431F" w:rsidRPr="002345BD">
        <w:rPr>
          <w:rFonts w:ascii="Times New Roman" w:hAnsi="Times New Roman" w:cs="Times New Roman"/>
          <w:sz w:val="24"/>
          <w:szCs w:val="24"/>
        </w:rPr>
        <w:t xml:space="preserve">funded by the Transportation Alternatives funds set-aside pursuant to 23 U.S.C. § 213 and state matching funds; projects funded by the revenue-sharing program pursuant to § </w:t>
      </w:r>
      <w:hyperlink r:id="rId15">
        <w:r w:rsidR="005E431F" w:rsidRPr="002345BD">
          <w:rPr>
            <w:rFonts w:ascii="Times New Roman" w:hAnsi="Times New Roman" w:cs="Times New Roman"/>
            <w:color w:val="3398DA"/>
            <w:sz w:val="24"/>
            <w:szCs w:val="24"/>
          </w:rPr>
          <w:t>33.2-357</w:t>
        </w:r>
      </w:hyperlink>
      <w:hyperlink r:id="rId16">
        <w:r w:rsidR="005E431F" w:rsidRPr="002345BD">
          <w:rPr>
            <w:rFonts w:ascii="Times New Roman" w:hAnsi="Times New Roman" w:cs="Times New Roman"/>
            <w:sz w:val="24"/>
            <w:szCs w:val="24"/>
          </w:rPr>
          <w:t>;</w:t>
        </w:r>
      </w:hyperlink>
      <w:r w:rsidR="005E431F" w:rsidRPr="002345BD">
        <w:rPr>
          <w:rFonts w:ascii="Times New Roman" w:hAnsi="Times New Roman" w:cs="Times New Roman"/>
          <w:sz w:val="24"/>
          <w:szCs w:val="24"/>
        </w:rPr>
        <w:t>and projects funded by federal programs established by the federal government after June 30, 2014, with specific rules that restrict the types of projects that may be funded, excluding restrictions on the location of projects with regard to highway functional classification. The Commonwealth Transportation Board may, at its discretion, develop a prioritization process for any of the funds covered by this subsection, subject to planning and funding requirements of federal law.</w:t>
      </w:r>
    </w:p>
    <w:p w14:paraId="6AAB6C6A" w14:textId="77777777" w:rsidR="00D66975" w:rsidRPr="002345BD" w:rsidRDefault="005E431F" w:rsidP="002345BD">
      <w:pPr>
        <w:pStyle w:val="BodyText"/>
        <w:spacing w:before="202"/>
        <w:ind w:left="720" w:right="520"/>
        <w:rPr>
          <w:rFonts w:ascii="Times New Roman" w:hAnsi="Times New Roman" w:cs="Times New Roman"/>
        </w:rPr>
      </w:pPr>
      <w:r w:rsidRPr="002345BD">
        <w:rPr>
          <w:rFonts w:ascii="Times New Roman" w:hAnsi="Times New Roman" w:cs="Times New Roman"/>
        </w:rPr>
        <w:t xml:space="preserve">2014, c. </w:t>
      </w:r>
      <w:hyperlink r:id="rId17">
        <w:r w:rsidRPr="002345BD">
          <w:rPr>
            <w:rFonts w:ascii="Times New Roman" w:hAnsi="Times New Roman" w:cs="Times New Roman"/>
            <w:color w:val="3398DA"/>
          </w:rPr>
          <w:t>726</w:t>
        </w:r>
      </w:hyperlink>
      <w:hyperlink r:id="rId18">
        <w:r w:rsidRPr="002345BD">
          <w:rPr>
            <w:rFonts w:ascii="Times New Roman" w:hAnsi="Times New Roman" w:cs="Times New Roman"/>
          </w:rPr>
          <w:t>;</w:t>
        </w:r>
      </w:hyperlink>
      <w:r w:rsidRPr="002345BD">
        <w:rPr>
          <w:rFonts w:ascii="Times New Roman" w:hAnsi="Times New Roman" w:cs="Times New Roman"/>
        </w:rPr>
        <w:t xml:space="preserve">2015, c. </w:t>
      </w:r>
      <w:hyperlink r:id="rId19">
        <w:r w:rsidRPr="002345BD">
          <w:rPr>
            <w:rFonts w:ascii="Times New Roman" w:hAnsi="Times New Roman" w:cs="Times New Roman"/>
            <w:color w:val="3398DA"/>
          </w:rPr>
          <w:t>684</w:t>
        </w:r>
      </w:hyperlink>
      <w:hyperlink r:id="rId20">
        <w:r w:rsidRPr="002345BD">
          <w:rPr>
            <w:rFonts w:ascii="Times New Roman" w:hAnsi="Times New Roman" w:cs="Times New Roman"/>
          </w:rPr>
          <w:t>;</w:t>
        </w:r>
      </w:hyperlink>
      <w:r w:rsidRPr="002345BD">
        <w:rPr>
          <w:rFonts w:ascii="Times New Roman" w:hAnsi="Times New Roman" w:cs="Times New Roman"/>
        </w:rPr>
        <w:t xml:space="preserve">2016, c. </w:t>
      </w:r>
      <w:hyperlink r:id="rId21">
        <w:r w:rsidRPr="002345BD">
          <w:rPr>
            <w:rFonts w:ascii="Times New Roman" w:hAnsi="Times New Roman" w:cs="Times New Roman"/>
            <w:color w:val="3398DA"/>
          </w:rPr>
          <w:t>129</w:t>
        </w:r>
      </w:hyperlink>
      <w:hyperlink r:id="rId22">
        <w:r w:rsidRPr="002345BD">
          <w:rPr>
            <w:rFonts w:ascii="Times New Roman" w:hAnsi="Times New Roman" w:cs="Times New Roman"/>
          </w:rPr>
          <w:t>;</w:t>
        </w:r>
      </w:hyperlink>
      <w:r w:rsidRPr="002345BD">
        <w:rPr>
          <w:rFonts w:ascii="Times New Roman" w:hAnsi="Times New Roman" w:cs="Times New Roman"/>
        </w:rPr>
        <w:t xml:space="preserve">2017, cc. </w:t>
      </w:r>
      <w:hyperlink r:id="rId23">
        <w:r w:rsidRPr="002345BD">
          <w:rPr>
            <w:rFonts w:ascii="Times New Roman" w:hAnsi="Times New Roman" w:cs="Times New Roman"/>
            <w:color w:val="3398DA"/>
          </w:rPr>
          <w:t>166</w:t>
        </w:r>
      </w:hyperlink>
      <w:r w:rsidRPr="002345BD">
        <w:rPr>
          <w:rFonts w:ascii="Times New Roman" w:hAnsi="Times New Roman" w:cs="Times New Roman"/>
        </w:rPr>
        <w:t xml:space="preserve">, </w:t>
      </w:r>
      <w:hyperlink r:id="rId24">
        <w:r w:rsidRPr="002345BD">
          <w:rPr>
            <w:rFonts w:ascii="Times New Roman" w:hAnsi="Times New Roman" w:cs="Times New Roman"/>
            <w:color w:val="3398DA"/>
          </w:rPr>
          <w:t>273</w:t>
        </w:r>
      </w:hyperlink>
      <w:r w:rsidRPr="002345BD">
        <w:rPr>
          <w:rFonts w:ascii="Times New Roman" w:hAnsi="Times New Roman" w:cs="Times New Roman"/>
        </w:rPr>
        <w:t>.</w:t>
      </w:r>
    </w:p>
    <w:p w14:paraId="4D6B1BF0" w14:textId="77777777" w:rsidR="00D66975" w:rsidRPr="002345BD" w:rsidRDefault="005E431F" w:rsidP="002345BD">
      <w:pPr>
        <w:pStyle w:val="BodyText"/>
        <w:spacing w:before="242" w:line="278" w:lineRule="auto"/>
        <w:ind w:left="720" w:right="520"/>
        <w:rPr>
          <w:rFonts w:ascii="Times New Roman" w:hAnsi="Times New Roman" w:cs="Times New Roman"/>
        </w:rPr>
      </w:pPr>
      <w:r w:rsidRPr="002345BD">
        <w:rPr>
          <w:rFonts w:ascii="Times New Roman" w:hAnsi="Times New Roman" w:cs="Times New Roman"/>
        </w:rPr>
        <w:t>The chapters of the acts of assembly referenced in the historical citation at the end of this section may not constitute a comprehensive list of such chapters and may exclude chapters whose provisions have expired.</w:t>
      </w:r>
    </w:p>
    <w:sectPr w:rsidR="00D66975" w:rsidRPr="002345BD" w:rsidSect="0050610B">
      <w:headerReference w:type="even" r:id="rId25"/>
      <w:headerReference w:type="default" r:id="rId26"/>
      <w:footerReference w:type="even" r:id="rId27"/>
      <w:footerReference w:type="default" r:id="rId28"/>
      <w:headerReference w:type="first" r:id="rId29"/>
      <w:footerReference w:type="first" r:id="rId30"/>
      <w:pgSz w:w="11900" w:h="16840"/>
      <w:pgMar w:top="780" w:right="500" w:bottom="1530" w:left="80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E850" w14:textId="77777777" w:rsidR="00223D1C" w:rsidRDefault="00223D1C">
      <w:r>
        <w:separator/>
      </w:r>
    </w:p>
  </w:endnote>
  <w:endnote w:type="continuationSeparator" w:id="0">
    <w:p w14:paraId="2A1F60DC" w14:textId="77777777" w:rsidR="00223D1C" w:rsidRDefault="002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606E" w14:textId="77777777" w:rsidR="00917C36" w:rsidRDefault="0091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B5D3" w14:textId="77777777" w:rsidR="00D66975" w:rsidRDefault="00234862">
    <w:pPr>
      <w:pStyle w:val="BodyText"/>
      <w:spacing w:before="0" w:line="14" w:lineRule="auto"/>
      <w:ind w:left="0"/>
      <w:rPr>
        <w:sz w:val="20"/>
      </w:rPr>
    </w:pPr>
    <w:r>
      <w:rPr>
        <w:noProof/>
      </w:rPr>
      <mc:AlternateContent>
        <mc:Choice Requires="wps">
          <w:drawing>
            <wp:anchor distT="0" distB="0" distL="114300" distR="114300" simplePos="0" relativeHeight="487550464" behindDoc="1" locked="0" layoutInCell="1" allowOverlap="1" wp14:anchorId="06452D86" wp14:editId="26F01731">
              <wp:simplePos x="0" y="0"/>
              <wp:positionH relativeFrom="page">
                <wp:posOffset>3644900</wp:posOffset>
              </wp:positionH>
              <wp:positionV relativeFrom="page">
                <wp:posOffset>10071100</wp:posOffset>
              </wp:positionV>
              <wp:extent cx="13335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766A" w14:textId="77777777" w:rsidR="00D66975" w:rsidRDefault="005E431F">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52D86" id="_x0000_t202" coordsize="21600,21600" o:spt="202" path="m,l,21600r21600,l21600,xe">
              <v:stroke joinstyle="miter"/>
              <v:path gradientshapeok="t" o:connecttype="rect"/>
            </v:shapetype>
            <v:shape id="Text Box 2" o:spid="_x0000_s1026" type="#_x0000_t202" style="position:absolute;margin-left:287pt;margin-top:793pt;width:10.5pt;height:12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" filled="f" stroked="f">
              <v:path arrowok="t"/>
              <v:textbox inset="0,0,0,0">
                <w:txbxContent>
                  <w:p w14:paraId="3017766A" w14:textId="77777777" w:rsidR="00D66975" w:rsidRDefault="005E431F">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50976" behindDoc="1" locked="0" layoutInCell="1" allowOverlap="1" wp14:anchorId="63B67E67" wp14:editId="6B1C19D2">
              <wp:simplePos x="0" y="0"/>
              <wp:positionH relativeFrom="page">
                <wp:posOffset>6654800</wp:posOffset>
              </wp:positionH>
              <wp:positionV relativeFrom="page">
                <wp:posOffset>10071100</wp:posOffset>
              </wp:positionV>
              <wp:extent cx="5467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2459" w14:textId="1404301F" w:rsidR="00D66975" w:rsidRDefault="00437868">
                          <w:pPr>
                            <w:spacing w:before="12"/>
                            <w:ind w:left="20"/>
                            <w:rPr>
                              <w:rFonts w:ascii="Times New Roman"/>
                              <w:sz w:val="18"/>
                            </w:rPr>
                          </w:pPr>
                          <w:r>
                            <w:rPr>
                              <w:rFonts w:ascii="Times New Roman"/>
                              <w:sz w:val="18"/>
                            </w:rPr>
                            <w:t>11/18/2021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7E67" id="Text Box 1" o:spid="_x0000_s1027" type="#_x0000_t202" style="position:absolute;margin-left:524pt;margin-top:793pt;width:43.05pt;height:12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" filled="f" stroked="f">
              <v:path arrowok="t"/>
              <v:textbox inset="0,0,0,0">
                <w:txbxContent>
                  <w:p w14:paraId="56162459" w14:textId="1404301F" w:rsidR="00D66975" w:rsidRDefault="00437868">
                    <w:pPr>
                      <w:spacing w:before="12"/>
                      <w:ind w:left="20"/>
                      <w:rPr>
                        <w:rFonts w:ascii="Times New Roman"/>
                        <w:sz w:val="18"/>
                      </w:rPr>
                    </w:pPr>
                    <w:r>
                      <w:rPr>
                        <w:rFonts w:ascii="Times New Roman"/>
                        <w:sz w:val="18"/>
                      </w:rPr>
                      <w:t>11/18/2021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3D4" w14:textId="77777777" w:rsidR="00917C36" w:rsidRDefault="0091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0199" w14:textId="77777777" w:rsidR="00223D1C" w:rsidRDefault="00223D1C">
      <w:r>
        <w:separator/>
      </w:r>
    </w:p>
  </w:footnote>
  <w:footnote w:type="continuationSeparator" w:id="0">
    <w:p w14:paraId="1A7683BA" w14:textId="77777777" w:rsidR="00223D1C" w:rsidRDefault="0022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5268" w14:textId="77777777" w:rsidR="00917C36" w:rsidRDefault="0091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C423" w14:textId="77777777" w:rsidR="00917C36" w:rsidRDefault="00917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B34C" w14:textId="77777777" w:rsidR="00917C36" w:rsidRDefault="0091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59E"/>
    <w:multiLevelType w:val="hybridMultilevel"/>
    <w:tmpl w:val="5BF8B16A"/>
    <w:lvl w:ilvl="0" w:tplc="9CA01C96">
      <w:start w:val="1"/>
      <w:numFmt w:val="upperLetter"/>
      <w:lvlText w:val="%1."/>
      <w:lvlJc w:val="left"/>
      <w:pPr>
        <w:ind w:left="0" w:firstLine="0"/>
      </w:pPr>
      <w:rPr>
        <w:rFonts w:ascii="Times New Roman" w:eastAsia="PT Serif" w:hAnsi="Times New Roman" w:cs="Times New Roman"/>
        <w:w w:val="100"/>
        <w:sz w:val="24"/>
        <w:szCs w:val="24"/>
      </w:rPr>
    </w:lvl>
    <w:lvl w:ilvl="1" w:tplc="AF0C0D86">
      <w:numFmt w:val="bullet"/>
      <w:lvlText w:val="•"/>
      <w:lvlJc w:val="left"/>
      <w:pPr>
        <w:ind w:left="1150" w:hanging="290"/>
      </w:pPr>
      <w:rPr>
        <w:rFonts w:hint="default"/>
      </w:rPr>
    </w:lvl>
    <w:lvl w:ilvl="2" w:tplc="13B68C24">
      <w:numFmt w:val="bullet"/>
      <w:lvlText w:val="•"/>
      <w:lvlJc w:val="left"/>
      <w:pPr>
        <w:ind w:left="2200" w:hanging="290"/>
      </w:pPr>
      <w:rPr>
        <w:rFonts w:hint="default"/>
      </w:rPr>
    </w:lvl>
    <w:lvl w:ilvl="3" w:tplc="BB485DE8">
      <w:numFmt w:val="bullet"/>
      <w:lvlText w:val="•"/>
      <w:lvlJc w:val="left"/>
      <w:pPr>
        <w:ind w:left="3250" w:hanging="290"/>
      </w:pPr>
      <w:rPr>
        <w:rFonts w:hint="default"/>
      </w:rPr>
    </w:lvl>
    <w:lvl w:ilvl="4" w:tplc="0652E462">
      <w:numFmt w:val="bullet"/>
      <w:lvlText w:val="•"/>
      <w:lvlJc w:val="left"/>
      <w:pPr>
        <w:ind w:left="4300" w:hanging="290"/>
      </w:pPr>
      <w:rPr>
        <w:rFonts w:hint="default"/>
      </w:rPr>
    </w:lvl>
    <w:lvl w:ilvl="5" w:tplc="0AF49636">
      <w:numFmt w:val="bullet"/>
      <w:lvlText w:val="•"/>
      <w:lvlJc w:val="left"/>
      <w:pPr>
        <w:ind w:left="5350" w:hanging="290"/>
      </w:pPr>
      <w:rPr>
        <w:rFonts w:hint="default"/>
      </w:rPr>
    </w:lvl>
    <w:lvl w:ilvl="6" w:tplc="1E76EE28">
      <w:numFmt w:val="bullet"/>
      <w:lvlText w:val="•"/>
      <w:lvlJc w:val="left"/>
      <w:pPr>
        <w:ind w:left="6400" w:hanging="290"/>
      </w:pPr>
      <w:rPr>
        <w:rFonts w:hint="default"/>
      </w:rPr>
    </w:lvl>
    <w:lvl w:ilvl="7" w:tplc="1852858E">
      <w:numFmt w:val="bullet"/>
      <w:lvlText w:val="•"/>
      <w:lvlJc w:val="left"/>
      <w:pPr>
        <w:ind w:left="7450" w:hanging="290"/>
      </w:pPr>
      <w:rPr>
        <w:rFonts w:hint="default"/>
      </w:rPr>
    </w:lvl>
    <w:lvl w:ilvl="8" w:tplc="2FD8E588">
      <w:numFmt w:val="bullet"/>
      <w:lvlText w:val="•"/>
      <w:lvlJc w:val="left"/>
      <w:pPr>
        <w:ind w:left="8500" w:hanging="290"/>
      </w:pPr>
      <w:rPr>
        <w:rFonts w:hint="default"/>
      </w:rPr>
    </w:lvl>
  </w:abstractNum>
  <w:abstractNum w:abstractNumId="1" w15:restartNumberingAfterBreak="0">
    <w:nsid w:val="3F41677D"/>
    <w:multiLevelType w:val="hybridMultilevel"/>
    <w:tmpl w:val="E8B867BC"/>
    <w:lvl w:ilvl="0" w:tplc="326496AC">
      <w:start w:val="1"/>
      <w:numFmt w:val="decimal"/>
      <w:lvlText w:val="%1."/>
      <w:lvlJc w:val="left"/>
      <w:pPr>
        <w:ind w:left="100" w:hanging="254"/>
        <w:jc w:val="left"/>
      </w:pPr>
      <w:rPr>
        <w:rFonts w:ascii="PT Serif" w:eastAsia="PT Serif" w:hAnsi="PT Serif" w:cs="PT Serif" w:hint="default"/>
        <w:w w:val="100"/>
        <w:sz w:val="24"/>
        <w:szCs w:val="24"/>
      </w:rPr>
    </w:lvl>
    <w:lvl w:ilvl="1" w:tplc="E3002760">
      <w:numFmt w:val="bullet"/>
      <w:lvlText w:val="•"/>
      <w:lvlJc w:val="left"/>
      <w:pPr>
        <w:ind w:left="1150" w:hanging="254"/>
      </w:pPr>
      <w:rPr>
        <w:rFonts w:hint="default"/>
      </w:rPr>
    </w:lvl>
    <w:lvl w:ilvl="2" w:tplc="F882297C">
      <w:numFmt w:val="bullet"/>
      <w:lvlText w:val="•"/>
      <w:lvlJc w:val="left"/>
      <w:pPr>
        <w:ind w:left="2200" w:hanging="254"/>
      </w:pPr>
      <w:rPr>
        <w:rFonts w:hint="default"/>
      </w:rPr>
    </w:lvl>
    <w:lvl w:ilvl="3" w:tplc="CB8C6888">
      <w:numFmt w:val="bullet"/>
      <w:lvlText w:val="•"/>
      <w:lvlJc w:val="left"/>
      <w:pPr>
        <w:ind w:left="3250" w:hanging="254"/>
      </w:pPr>
      <w:rPr>
        <w:rFonts w:hint="default"/>
      </w:rPr>
    </w:lvl>
    <w:lvl w:ilvl="4" w:tplc="9F8EB4A0">
      <w:numFmt w:val="bullet"/>
      <w:lvlText w:val="•"/>
      <w:lvlJc w:val="left"/>
      <w:pPr>
        <w:ind w:left="4300" w:hanging="254"/>
      </w:pPr>
      <w:rPr>
        <w:rFonts w:hint="default"/>
      </w:rPr>
    </w:lvl>
    <w:lvl w:ilvl="5" w:tplc="E466BF9C">
      <w:numFmt w:val="bullet"/>
      <w:lvlText w:val="•"/>
      <w:lvlJc w:val="left"/>
      <w:pPr>
        <w:ind w:left="5350" w:hanging="254"/>
      </w:pPr>
      <w:rPr>
        <w:rFonts w:hint="default"/>
      </w:rPr>
    </w:lvl>
    <w:lvl w:ilvl="6" w:tplc="6D8C0C7A">
      <w:numFmt w:val="bullet"/>
      <w:lvlText w:val="•"/>
      <w:lvlJc w:val="left"/>
      <w:pPr>
        <w:ind w:left="6400" w:hanging="254"/>
      </w:pPr>
      <w:rPr>
        <w:rFonts w:hint="default"/>
      </w:rPr>
    </w:lvl>
    <w:lvl w:ilvl="7" w:tplc="07D6D9E8">
      <w:numFmt w:val="bullet"/>
      <w:lvlText w:val="•"/>
      <w:lvlJc w:val="left"/>
      <w:pPr>
        <w:ind w:left="7450" w:hanging="254"/>
      </w:pPr>
      <w:rPr>
        <w:rFonts w:hint="default"/>
      </w:rPr>
    </w:lvl>
    <w:lvl w:ilvl="8" w:tplc="1B9230E0">
      <w:numFmt w:val="bullet"/>
      <w:lvlText w:val="•"/>
      <w:lvlJc w:val="left"/>
      <w:pPr>
        <w:ind w:left="8500" w:hanging="254"/>
      </w:pPr>
      <w:rPr>
        <w:rFonts w:hint="default"/>
      </w:rPr>
    </w:lvl>
  </w:abstractNum>
  <w:abstractNum w:abstractNumId="2" w15:restartNumberingAfterBreak="0">
    <w:nsid w:val="5F517325"/>
    <w:multiLevelType w:val="hybridMultilevel"/>
    <w:tmpl w:val="14765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75"/>
    <w:rsid w:val="00024180"/>
    <w:rsid w:val="000253A6"/>
    <w:rsid w:val="00071F91"/>
    <w:rsid w:val="001331DE"/>
    <w:rsid w:val="00157AD2"/>
    <w:rsid w:val="001B6F5D"/>
    <w:rsid w:val="00223D1C"/>
    <w:rsid w:val="002345BD"/>
    <w:rsid w:val="00234862"/>
    <w:rsid w:val="003C18D3"/>
    <w:rsid w:val="00437868"/>
    <w:rsid w:val="00470CA3"/>
    <w:rsid w:val="004D410A"/>
    <w:rsid w:val="0050610B"/>
    <w:rsid w:val="005E431F"/>
    <w:rsid w:val="006510C5"/>
    <w:rsid w:val="006E161A"/>
    <w:rsid w:val="0074344B"/>
    <w:rsid w:val="007C2F8E"/>
    <w:rsid w:val="008A13B9"/>
    <w:rsid w:val="008F67B4"/>
    <w:rsid w:val="00917C36"/>
    <w:rsid w:val="00A359E4"/>
    <w:rsid w:val="00A7186F"/>
    <w:rsid w:val="00B46E03"/>
    <w:rsid w:val="00C87F01"/>
    <w:rsid w:val="00C91D91"/>
    <w:rsid w:val="00D66975"/>
    <w:rsid w:val="00E024DF"/>
    <w:rsid w:val="00F02AE2"/>
    <w:rsid w:val="00FB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B4CE3"/>
  <w15:docId w15:val="{8B811453-6A6F-AD4E-8088-0DF0693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T Serif" w:eastAsia="PT Serif" w:hAnsi="PT Serif" w:cs="PT Serif"/>
    </w:rPr>
  </w:style>
  <w:style w:type="paragraph" w:styleId="Heading2">
    <w:name w:val="heading 2"/>
    <w:basedOn w:val="Normal"/>
    <w:link w:val="Heading2Char"/>
    <w:uiPriority w:val="9"/>
    <w:qFormat/>
    <w:rsid w:val="00234862"/>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7"/>
      <w:ind w:left="100"/>
    </w:pPr>
    <w:rPr>
      <w:sz w:val="24"/>
      <w:szCs w:val="24"/>
    </w:rPr>
  </w:style>
  <w:style w:type="paragraph" w:styleId="Title">
    <w:name w:val="Title"/>
    <w:basedOn w:val="Normal"/>
    <w:uiPriority w:val="10"/>
    <w:qFormat/>
    <w:pPr>
      <w:ind w:left="100" w:right="1454"/>
    </w:pPr>
    <w:rPr>
      <w:sz w:val="36"/>
      <w:szCs w:val="36"/>
    </w:rPr>
  </w:style>
  <w:style w:type="paragraph" w:styleId="ListParagraph">
    <w:name w:val="List Paragraph"/>
    <w:basedOn w:val="Normal"/>
    <w:uiPriority w:val="1"/>
    <w:qFormat/>
    <w:pPr>
      <w:spacing w:before="185"/>
      <w:ind w:left="100" w:right="125"/>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23486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0610B"/>
    <w:pPr>
      <w:tabs>
        <w:tab w:val="center" w:pos="4680"/>
        <w:tab w:val="right" w:pos="9360"/>
      </w:tabs>
    </w:pPr>
  </w:style>
  <w:style w:type="character" w:customStyle="1" w:styleId="HeaderChar">
    <w:name w:val="Header Char"/>
    <w:basedOn w:val="DefaultParagraphFont"/>
    <w:link w:val="Header"/>
    <w:uiPriority w:val="99"/>
    <w:rsid w:val="0050610B"/>
    <w:rPr>
      <w:rFonts w:ascii="PT Serif" w:eastAsia="PT Serif" w:hAnsi="PT Serif" w:cs="PT Serif"/>
    </w:rPr>
  </w:style>
  <w:style w:type="paragraph" w:styleId="Footer">
    <w:name w:val="footer"/>
    <w:basedOn w:val="Normal"/>
    <w:link w:val="FooterChar"/>
    <w:uiPriority w:val="99"/>
    <w:unhideWhenUsed/>
    <w:rsid w:val="0050610B"/>
    <w:pPr>
      <w:tabs>
        <w:tab w:val="center" w:pos="4680"/>
        <w:tab w:val="right" w:pos="9360"/>
      </w:tabs>
    </w:pPr>
  </w:style>
  <w:style w:type="character" w:customStyle="1" w:styleId="FooterChar">
    <w:name w:val="Footer Char"/>
    <w:basedOn w:val="DefaultParagraphFont"/>
    <w:link w:val="Footer"/>
    <w:uiPriority w:val="99"/>
    <w:rsid w:val="0050610B"/>
    <w:rPr>
      <w:rFonts w:ascii="PT Serif" w:eastAsia="PT Serif" w:hAnsi="PT Serif" w:cs="PT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aw.lis.virginia.gov/vacode/33.2-370/" TargetMode="External"/><Relationship Id="rId13" Type="http://schemas.openxmlformats.org/officeDocument/2006/relationships/hyperlink" Target="http://law.lis.virginia.gov/vacode/33.2-352/" TargetMode="External"/><Relationship Id="rId18" Type="http://schemas.openxmlformats.org/officeDocument/2006/relationships/hyperlink" Target="http://lis.virginia.gov/cgi-bin/legp604.exe?141%2Bful%2BCHAP072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lis.virginia.gov/cgi-bin/legp604.exe?161%2Bful%2BCHAP0129" TargetMode="External"/><Relationship Id="rId7" Type="http://schemas.openxmlformats.org/officeDocument/2006/relationships/hyperlink" Target="http://law.lis.virginia.gov/vacode/33.2-358/" TargetMode="External"/><Relationship Id="rId12" Type="http://schemas.openxmlformats.org/officeDocument/2006/relationships/hyperlink" Target="http://law.lis.virginia.gov/vacode/33.2-353/" TargetMode="External"/><Relationship Id="rId17" Type="http://schemas.openxmlformats.org/officeDocument/2006/relationships/hyperlink" Target="http://lis.virginia.gov/cgi-bin/legp604.exe?141%2Bful%2BCHAP072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aw.lis.virginia.gov/vacode/33.2-357/" TargetMode="External"/><Relationship Id="rId20" Type="http://schemas.openxmlformats.org/officeDocument/2006/relationships/hyperlink" Target="http://lis.virginia.gov/cgi-bin/legp604.exe?151%2Bful%2BCHAP068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lis.virginia.gov/vacode/15.2-2223.1/" TargetMode="External"/><Relationship Id="rId24" Type="http://schemas.openxmlformats.org/officeDocument/2006/relationships/hyperlink" Target="http://lis.virginia.gov/cgi-bin/legp604.exe?171%2Bful%2BCHAP027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lis.virginia.gov/vacode/33.2-357/" TargetMode="External"/><Relationship Id="rId23" Type="http://schemas.openxmlformats.org/officeDocument/2006/relationships/hyperlink" Target="http://lis.virginia.gov/cgi-bin/legp604.exe?171%2Bful%2BCHAP0166" TargetMode="External"/><Relationship Id="rId28" Type="http://schemas.openxmlformats.org/officeDocument/2006/relationships/footer" Target="footer2.xml"/><Relationship Id="rId10" Type="http://schemas.openxmlformats.org/officeDocument/2006/relationships/hyperlink" Target="http://law.lis.virginia.gov/vacode/33.2-214/" TargetMode="External"/><Relationship Id="rId19" Type="http://schemas.openxmlformats.org/officeDocument/2006/relationships/hyperlink" Target="http://lis.virginia.gov/cgi-bin/legp604.exe?151%2Bful%2BCHAP068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lis.virginia.gov/vacode/33.2-371/" TargetMode="External"/><Relationship Id="rId14" Type="http://schemas.openxmlformats.org/officeDocument/2006/relationships/hyperlink" Target="http://law.lis.virginia.gov/vacode/33.2-352/" TargetMode="External"/><Relationship Id="rId22" Type="http://schemas.openxmlformats.org/officeDocument/2006/relationships/hyperlink" Target="http://lis.virginia.gov/cgi-bin/legp604.exe?161%2Bful%2BCHAP012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 Stone</cp:lastModifiedBy>
  <cp:revision>3</cp:revision>
  <dcterms:created xsi:type="dcterms:W3CDTF">2021-11-18T21:07:00Z</dcterms:created>
  <dcterms:modified xsi:type="dcterms:W3CDTF">2021-11-18T21:07:00Z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LastSaved">
    <vt:filetime>2020-10-29T00:00:00Z</vt:filetime>
  </property>
</Properties>
</file>