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4F68C" w14:textId="77777777" w:rsidR="0017572E" w:rsidRDefault="0017572E" w:rsidP="0017572E">
      <w:pPr>
        <w:jc w:val="both"/>
        <w:rPr>
          <w:rFonts w:ascii="Century Schoolbook" w:hAnsi="Century Schoolbook"/>
        </w:rPr>
      </w:pPr>
    </w:p>
    <w:p w14:paraId="72C32CA0" w14:textId="77777777" w:rsidR="0017572E" w:rsidRDefault="0017572E" w:rsidP="0017572E">
      <w:pPr>
        <w:pBdr>
          <w:top w:val="thinThickThinSmallGap" w:sz="24" w:space="1" w:color="auto"/>
          <w:left w:val="thinThickThinSmallGap" w:sz="24" w:space="4" w:color="auto"/>
          <w:bottom w:val="thinThickThinSmallGap" w:sz="24" w:space="1" w:color="auto"/>
          <w:right w:val="thinThickThinSmallGap" w:sz="24" w:space="4" w:color="auto"/>
        </w:pBdr>
        <w:shd w:val="pct5" w:color="auto" w:fill="FFFFFF"/>
        <w:jc w:val="center"/>
        <w:rPr>
          <w:rFonts w:ascii="Century Schoolbook" w:hAnsi="Century Schoolbook"/>
          <w:b/>
        </w:rPr>
      </w:pPr>
    </w:p>
    <w:p w14:paraId="4493F92D" w14:textId="77777777" w:rsidR="0017572E" w:rsidRDefault="0017572E" w:rsidP="0017572E">
      <w:pPr>
        <w:pBdr>
          <w:top w:val="thinThickThinSmallGap" w:sz="24" w:space="1" w:color="auto"/>
          <w:left w:val="thinThickThinSmallGap" w:sz="24" w:space="4" w:color="auto"/>
          <w:bottom w:val="thinThickThinSmallGap" w:sz="24" w:space="1" w:color="auto"/>
          <w:right w:val="thinThickThinSmallGap" w:sz="24" w:space="4" w:color="auto"/>
        </w:pBdr>
        <w:shd w:val="pct5" w:color="auto" w:fill="FFFFFF"/>
        <w:jc w:val="center"/>
        <w:rPr>
          <w:rFonts w:ascii="Century Schoolbook" w:hAnsi="Century Schoolbook"/>
          <w:b/>
        </w:rPr>
      </w:pPr>
      <w:r>
        <w:rPr>
          <w:rFonts w:ascii="Century Schoolbook" w:hAnsi="Century Schoolbook"/>
          <w:b/>
        </w:rPr>
        <w:t>STANDING JOINT SUBCOMMITTEE ON BLOCK GRANTS</w:t>
      </w:r>
    </w:p>
    <w:p w14:paraId="7BCB0158" w14:textId="77777777" w:rsidR="0017572E" w:rsidRDefault="0017572E" w:rsidP="0017572E">
      <w:pPr>
        <w:pBdr>
          <w:top w:val="thinThickThinSmallGap" w:sz="24" w:space="1" w:color="auto"/>
          <w:left w:val="thinThickThinSmallGap" w:sz="24" w:space="4" w:color="auto"/>
          <w:bottom w:val="thinThickThinSmallGap" w:sz="24" w:space="1" w:color="auto"/>
          <w:right w:val="thinThickThinSmallGap" w:sz="24" w:space="4" w:color="auto"/>
        </w:pBdr>
        <w:shd w:val="pct5" w:color="auto" w:fill="FFFFFF"/>
        <w:jc w:val="center"/>
        <w:rPr>
          <w:rFonts w:ascii="Century Schoolbook" w:hAnsi="Century Schoolbook"/>
          <w:b/>
        </w:rPr>
      </w:pPr>
      <w:r>
        <w:rPr>
          <w:rFonts w:ascii="Century Schoolbook" w:hAnsi="Century Schoolbook"/>
          <w:b/>
        </w:rPr>
        <w:t>SJR 223 of 1993</w:t>
      </w:r>
    </w:p>
    <w:p w14:paraId="35FF908B" w14:textId="77777777" w:rsidR="0017572E" w:rsidRDefault="0017572E" w:rsidP="0017572E">
      <w:pPr>
        <w:pBdr>
          <w:top w:val="thinThickThinSmallGap" w:sz="24" w:space="1" w:color="auto"/>
          <w:left w:val="thinThickThinSmallGap" w:sz="24" w:space="4" w:color="auto"/>
          <w:bottom w:val="thinThickThinSmallGap" w:sz="24" w:space="1" w:color="auto"/>
          <w:right w:val="thinThickThinSmallGap" w:sz="24" w:space="4" w:color="auto"/>
        </w:pBdr>
        <w:shd w:val="pct5" w:color="auto" w:fill="FFFFFF"/>
        <w:jc w:val="center"/>
        <w:rPr>
          <w:rFonts w:ascii="Century Schoolbook" w:hAnsi="Century Schoolbook"/>
          <w:b/>
        </w:rPr>
      </w:pPr>
    </w:p>
    <w:p w14:paraId="2858FCD7" w14:textId="77777777" w:rsidR="0017572E" w:rsidRPr="004D3256" w:rsidRDefault="00D35DC6" w:rsidP="00D01A72">
      <w:pPr>
        <w:spacing w:before="240"/>
        <w:jc w:val="both"/>
        <w:rPr>
          <w:b/>
          <w:u w:val="single"/>
        </w:rPr>
      </w:pPr>
      <w:r w:rsidRPr="00A87E3B">
        <w:rPr>
          <w:b/>
          <w:spacing w:val="20"/>
          <w:u w:val="single"/>
        </w:rPr>
        <w:t>BACKGROUND</w:t>
      </w:r>
    </w:p>
    <w:p w14:paraId="78E87D7F" w14:textId="3D4F54AE" w:rsidR="00D35DC6" w:rsidRDefault="00AD593F" w:rsidP="004D3256">
      <w:pPr>
        <w:spacing w:before="120"/>
        <w:jc w:val="both"/>
      </w:pPr>
      <w:r>
        <w:t xml:space="preserve">The Omnibus Budget Reconciliation Act of 1981 established several block grant programs to provide funding to states to support delivery of health and human services, including the Preventive Health and Health Services Block Grant </w:t>
      </w:r>
      <w:r w:rsidR="00D35DC6">
        <w:t xml:space="preserve">(PHHSBG), the Alcohol, Drug Abuse and Mental Health Services Block Grant (ADAMHSBG), and </w:t>
      </w:r>
      <w:r>
        <w:t xml:space="preserve">the Community Services Block Grant (CSBG). Each block grant program required states seeking funding to submit a plan for the proposed use and distribution of funds to be provided and to hold at least one public hearing on each proposed plan prior to submission. </w:t>
      </w:r>
      <w:r w:rsidR="00D35DC6">
        <w:t xml:space="preserve">In </w:t>
      </w:r>
      <w:r>
        <w:t>1982, the General Assembly established the first Joint Subcommittee on Block Grants to provide a forum for the required public hearings on the Commonwealth's proposed plans for the PHHSBG and CSBG.</w:t>
      </w:r>
      <w:r w:rsidR="00D35DC6">
        <w:t xml:space="preserve"> In 1993, </w:t>
      </w:r>
      <w:r w:rsidR="0017572E">
        <w:t>Senate Joint Resolution 223 established the Standing Joint Subcommittee on Block Grants as</w:t>
      </w:r>
      <w:r w:rsidR="009E3980">
        <w:t xml:space="preserve"> a</w:t>
      </w:r>
      <w:r w:rsidR="0017572E">
        <w:t xml:space="preserve"> </w:t>
      </w:r>
      <w:r w:rsidR="00D35DC6">
        <w:t xml:space="preserve">permanent standing body to hold public hearings on every application for federal block grant funds for which a public hearing is required by law. </w:t>
      </w:r>
      <w:r w:rsidR="005E19D1">
        <w:t xml:space="preserve">According to the provisions of SJ 223 (1993), the </w:t>
      </w:r>
      <w:r w:rsidR="00D35DC6">
        <w:t>Standing Joint Subcommittee on Blo</w:t>
      </w:r>
      <w:bookmarkStart w:id="0" w:name="_GoBack"/>
      <w:bookmarkEnd w:id="0"/>
      <w:r w:rsidR="00D35DC6">
        <w:t>ck Grants shall continue "for so long as federal law requires legislative hearings as a condition of any application for or receipt of any</w:t>
      </w:r>
      <w:r w:rsidR="0050444E">
        <w:t xml:space="preserve"> federal block grant moneys."</w:t>
      </w:r>
    </w:p>
    <w:p w14:paraId="0A237696" w14:textId="77777777" w:rsidR="0017572E" w:rsidRDefault="00D35DC6" w:rsidP="00D01A72">
      <w:pPr>
        <w:spacing w:before="120"/>
        <w:ind w:firstLine="720"/>
        <w:jc w:val="both"/>
      </w:pPr>
      <w:r>
        <w:t xml:space="preserve">During the early 1990s, public hearing requirements for many federal block grant programs were eliminated. The legislative hearing </w:t>
      </w:r>
      <w:r w:rsidR="00087847">
        <w:t>requirement</w:t>
      </w:r>
      <w:r>
        <w:t xml:space="preserve"> </w:t>
      </w:r>
      <w:r w:rsidR="00087847">
        <w:t xml:space="preserve">for the </w:t>
      </w:r>
      <w:r>
        <w:t xml:space="preserve">PHHSBG was eliminated in 1992, and the legislative hearing requirement for the ADAMHSBG was eliminated in 1993. Since that time, the CSBG has been the only grant for which a public hearing was required. In 1998, </w:t>
      </w:r>
      <w:r w:rsidR="006D6813">
        <w:t xml:space="preserve">amendments to </w:t>
      </w:r>
      <w:r>
        <w:t xml:space="preserve">federal law governing the CSBG </w:t>
      </w:r>
      <w:r w:rsidR="006D6813">
        <w:t>extended the funding period for CSBG grants from one year to two years, so that states seeking CSBG funds are required to apply every other year rather than annually. Thus, since 1998, the Joint Subcommittee on Block Grants has held one hearing on the Commonwealth's CS</w:t>
      </w:r>
      <w:r w:rsidR="0050444E">
        <w:t>BG application every two years.</w:t>
      </w:r>
    </w:p>
    <w:p w14:paraId="0D891F4E" w14:textId="77777777" w:rsidR="0017572E" w:rsidRPr="004D3256" w:rsidRDefault="0017572E" w:rsidP="004D3256">
      <w:pPr>
        <w:spacing w:before="240"/>
        <w:jc w:val="both"/>
        <w:rPr>
          <w:b/>
          <w:u w:val="single"/>
        </w:rPr>
      </w:pPr>
      <w:r w:rsidRPr="00A87E3B">
        <w:rPr>
          <w:b/>
          <w:spacing w:val="20"/>
          <w:u w:val="single"/>
        </w:rPr>
        <w:t>COMMUNITY SERVICES BLOCK GRANT</w:t>
      </w:r>
    </w:p>
    <w:p w14:paraId="60829966" w14:textId="277076AC" w:rsidR="006D6813" w:rsidRDefault="0017572E" w:rsidP="004D3256">
      <w:pPr>
        <w:spacing w:before="120"/>
        <w:jc w:val="both"/>
      </w:pPr>
      <w:r w:rsidRPr="006D6813">
        <w:t xml:space="preserve">The </w:t>
      </w:r>
      <w:r w:rsidR="006D6813" w:rsidRPr="006D6813">
        <w:t>CSBG was established</w:t>
      </w:r>
      <w:r w:rsidR="006D6813">
        <w:rPr>
          <w:b/>
        </w:rPr>
        <w:t xml:space="preserve"> </w:t>
      </w:r>
      <w:r w:rsidR="006D6813" w:rsidRPr="006D6813">
        <w:t>by</w:t>
      </w:r>
      <w:r w:rsidR="006D6813">
        <w:rPr>
          <w:b/>
        </w:rPr>
        <w:t xml:space="preserve"> </w:t>
      </w:r>
      <w:r>
        <w:t>Section VI, Subtitle B, of the Omnibus Budget Reconciliation Act of 1981 (P</w:t>
      </w:r>
      <w:r w:rsidR="0050444E">
        <w:t>.</w:t>
      </w:r>
      <w:r>
        <w:t>L</w:t>
      </w:r>
      <w:r w:rsidR="0050444E">
        <w:t>.</w:t>
      </w:r>
      <w:r>
        <w:t xml:space="preserve"> 97-35), as amended by various acts, including the 1998 Community Services Block Grant</w:t>
      </w:r>
      <w:r w:rsidR="0050444E">
        <w:t xml:space="preserve"> Act (42 U.S.C. § 9901 et seq.). </w:t>
      </w:r>
      <w:r w:rsidR="006D6813">
        <w:t>The purpose of the CSBG is to provide assistance to community action agencies and other neighborhood-based organizations providing services intended to reduce poverty, revitalize low-income communities, and empower low-income families and individuals in rural and urban areas to become fully self-sufficient. States are encouraged to use CSBG funds to accomplish the goals of</w:t>
      </w:r>
      <w:r w:rsidR="009A1043">
        <w:t xml:space="preserve"> the</w:t>
      </w:r>
      <w:r w:rsidR="006D6813">
        <w:t xml:space="preserve"> CSBG by making grants to organizations to:</w:t>
      </w:r>
    </w:p>
    <w:p w14:paraId="0D43C263" w14:textId="77777777" w:rsidR="006D6813" w:rsidRDefault="006D6813" w:rsidP="004D3256">
      <w:pPr>
        <w:pStyle w:val="ListParagraph"/>
        <w:numPr>
          <w:ilvl w:val="0"/>
          <w:numId w:val="4"/>
        </w:numPr>
        <w:spacing w:before="120"/>
      </w:pPr>
      <w:r>
        <w:t>Strengthen community capabilities for planning and coordinating the use of a broad range of federal, state, local, and other assistance (including private resources) related to the elimination of poverty, so that this assistance can be used in a manner responsive to local needs and conditions;</w:t>
      </w:r>
    </w:p>
    <w:p w14:paraId="7B850BC1" w14:textId="77777777" w:rsidR="006D6813" w:rsidRDefault="006D6813" w:rsidP="004D3256">
      <w:pPr>
        <w:pStyle w:val="ListParagraph"/>
        <w:numPr>
          <w:ilvl w:val="0"/>
          <w:numId w:val="4"/>
        </w:numPr>
        <w:spacing w:before="60"/>
        <w:contextualSpacing w:val="0"/>
      </w:pPr>
      <w:r>
        <w:t>Organize a range of services related to the needs of low-income families and individuals, so that these services may have a measurable and potentially major impact on the causes of poverty in the community and may help the families and individuals to achieve self-sufficiency;</w:t>
      </w:r>
    </w:p>
    <w:p w14:paraId="3A20E95E" w14:textId="77777777" w:rsidR="006D6813" w:rsidRDefault="006D6813" w:rsidP="004D3256">
      <w:pPr>
        <w:pStyle w:val="ListParagraph"/>
        <w:numPr>
          <w:ilvl w:val="0"/>
          <w:numId w:val="4"/>
        </w:numPr>
        <w:spacing w:before="60"/>
        <w:contextualSpacing w:val="0"/>
      </w:pPr>
      <w:r>
        <w:lastRenderedPageBreak/>
        <w:t>Utilize innovative and effective community-based approaches to attacking the causes and effects of poverty and of community breakdown;</w:t>
      </w:r>
    </w:p>
    <w:p w14:paraId="1BA5978A" w14:textId="77777777" w:rsidR="006D6813" w:rsidRDefault="006D6813" w:rsidP="004D3256">
      <w:pPr>
        <w:pStyle w:val="ListParagraph"/>
        <w:numPr>
          <w:ilvl w:val="0"/>
          <w:numId w:val="4"/>
        </w:numPr>
        <w:spacing w:before="60"/>
        <w:contextualSpacing w:val="0"/>
      </w:pPr>
      <w:r>
        <w:t>Ensure maximum participation of residents of the low-income communities and members of the groups served by programs assisted through the CSBG to empower such residents and members to respond to the unique problems and needs within their communities; and</w:t>
      </w:r>
    </w:p>
    <w:p w14:paraId="3AB33B30" w14:textId="208567B3" w:rsidR="006D6813" w:rsidRDefault="006D6813" w:rsidP="004D3256">
      <w:pPr>
        <w:pStyle w:val="ListParagraph"/>
        <w:numPr>
          <w:ilvl w:val="0"/>
          <w:numId w:val="4"/>
        </w:numPr>
        <w:spacing w:before="60"/>
        <w:contextualSpacing w:val="0"/>
      </w:pPr>
      <w:r>
        <w:t>Broaden the resource base of programs directed to the elimination of poverty so as to secure a more active role in the provision of services for (i) private, religious, charitable, and neighborhood-based organizations and (ii) individual citizens, and business, labor, and professional groups, who are able to influence the quantity and quality of opportunities and services for the poor.</w:t>
      </w:r>
    </w:p>
    <w:p w14:paraId="08F260CE" w14:textId="77777777" w:rsidR="006D6813" w:rsidRDefault="006D6813" w:rsidP="00B8140E">
      <w:pPr>
        <w:spacing w:before="120"/>
        <w:ind w:firstLine="720"/>
        <w:jc w:val="both"/>
      </w:pPr>
      <w:r>
        <w:t>F</w:t>
      </w:r>
      <w:r w:rsidR="0017572E">
        <w:t xml:space="preserve">ederal law requires the administering agency to submit a narrative plan describing the </w:t>
      </w:r>
      <w:r>
        <w:t xml:space="preserve">state's </w:t>
      </w:r>
      <w:r w:rsidR="0017572E">
        <w:t>proposed use and distribution of the funds and how the assurances re</w:t>
      </w:r>
      <w:r w:rsidR="0050444E">
        <w:t>quired in the law will be met.</w:t>
      </w:r>
    </w:p>
    <w:p w14:paraId="5578736F" w14:textId="77777777" w:rsidR="0017572E" w:rsidRPr="006D6813" w:rsidRDefault="0017572E" w:rsidP="005E19D1">
      <w:pPr>
        <w:spacing w:before="120"/>
        <w:ind w:firstLine="720"/>
        <w:jc w:val="both"/>
      </w:pPr>
      <w:r>
        <w:t xml:space="preserve">In Virginia, </w:t>
      </w:r>
      <w:r w:rsidR="00AD593F">
        <w:t>31</w:t>
      </w:r>
      <w:r>
        <w:t xml:space="preserve"> </w:t>
      </w:r>
      <w:r w:rsidR="006D6813">
        <w:t>local community action agencies</w:t>
      </w:r>
      <w:r>
        <w:t xml:space="preserve"> provide a wide range of services to low-income populations that are designed to </w:t>
      </w:r>
      <w:r w:rsidR="006D6813">
        <w:t>accomplish the goals of the CSBG</w:t>
      </w:r>
      <w:r>
        <w:t>,</w:t>
      </w:r>
      <w:r w:rsidR="00AD593F">
        <w:t xml:space="preserve"> including</w:t>
      </w:r>
      <w:r>
        <w:t>:</w:t>
      </w:r>
    </w:p>
    <w:p w14:paraId="08F156CC" w14:textId="77777777" w:rsidR="00AD593F" w:rsidRPr="006D6813" w:rsidRDefault="00B8140E" w:rsidP="005E19D1">
      <w:pPr>
        <w:numPr>
          <w:ilvl w:val="0"/>
          <w:numId w:val="5"/>
        </w:numPr>
        <w:tabs>
          <w:tab w:val="left" w:pos="5760"/>
        </w:tabs>
        <w:spacing w:before="120"/>
        <w:ind w:left="720"/>
        <w:jc w:val="both"/>
      </w:pPr>
      <w:r>
        <w:t>Health care;</w:t>
      </w:r>
    </w:p>
    <w:p w14:paraId="2D9B920C" w14:textId="77777777" w:rsidR="00AD593F" w:rsidRPr="006D6813" w:rsidRDefault="00B8140E" w:rsidP="005E19D1">
      <w:pPr>
        <w:numPr>
          <w:ilvl w:val="0"/>
          <w:numId w:val="5"/>
        </w:numPr>
        <w:tabs>
          <w:tab w:val="left" w:pos="5760"/>
        </w:tabs>
        <w:spacing w:before="60"/>
        <w:ind w:left="720"/>
        <w:jc w:val="both"/>
      </w:pPr>
      <w:r>
        <w:t>Nutrition;</w:t>
      </w:r>
    </w:p>
    <w:p w14:paraId="443EAA34" w14:textId="77777777" w:rsidR="0017572E" w:rsidRPr="006D6813" w:rsidRDefault="0017572E" w:rsidP="005E19D1">
      <w:pPr>
        <w:numPr>
          <w:ilvl w:val="0"/>
          <w:numId w:val="5"/>
        </w:numPr>
        <w:tabs>
          <w:tab w:val="left" w:pos="5760"/>
        </w:tabs>
        <w:spacing w:before="60"/>
        <w:ind w:left="720"/>
        <w:jc w:val="both"/>
      </w:pPr>
      <w:r w:rsidRPr="006D6813">
        <w:t>Job training and skills development</w:t>
      </w:r>
      <w:r w:rsidR="00B8140E">
        <w:t>;</w:t>
      </w:r>
    </w:p>
    <w:p w14:paraId="3314708C" w14:textId="77777777" w:rsidR="0017572E" w:rsidRPr="006D6813" w:rsidRDefault="0017572E" w:rsidP="005E19D1">
      <w:pPr>
        <w:numPr>
          <w:ilvl w:val="0"/>
          <w:numId w:val="5"/>
        </w:numPr>
        <w:spacing w:before="60"/>
        <w:ind w:left="720"/>
        <w:jc w:val="both"/>
      </w:pPr>
      <w:r w:rsidRPr="006D6813">
        <w:t>Child day care</w:t>
      </w:r>
      <w:r w:rsidR="00B8140E">
        <w:t>;</w:t>
      </w:r>
    </w:p>
    <w:p w14:paraId="322E74AA" w14:textId="77777777" w:rsidR="00AD593F" w:rsidRPr="006D6813" w:rsidRDefault="00AD593F" w:rsidP="005E19D1">
      <w:pPr>
        <w:numPr>
          <w:ilvl w:val="0"/>
          <w:numId w:val="5"/>
        </w:numPr>
        <w:spacing w:before="60"/>
        <w:ind w:left="720"/>
        <w:jc w:val="both"/>
      </w:pPr>
      <w:r w:rsidRPr="006D6813">
        <w:t>Head Start programs</w:t>
      </w:r>
      <w:r w:rsidR="00B8140E">
        <w:t>;</w:t>
      </w:r>
    </w:p>
    <w:p w14:paraId="3B3E7460" w14:textId="77777777" w:rsidR="00AD593F" w:rsidRPr="006D6813" w:rsidRDefault="0017572E" w:rsidP="005E19D1">
      <w:pPr>
        <w:numPr>
          <w:ilvl w:val="0"/>
          <w:numId w:val="5"/>
        </w:numPr>
        <w:spacing w:before="60"/>
        <w:ind w:left="720"/>
        <w:jc w:val="both"/>
      </w:pPr>
      <w:r w:rsidRPr="006D6813">
        <w:t>Housing services</w:t>
      </w:r>
      <w:r w:rsidR="00B8140E">
        <w:t>;</w:t>
      </w:r>
    </w:p>
    <w:p w14:paraId="66035FD0" w14:textId="77777777" w:rsidR="0017572E" w:rsidRPr="006D6813" w:rsidRDefault="0017572E" w:rsidP="005E19D1">
      <w:pPr>
        <w:numPr>
          <w:ilvl w:val="0"/>
          <w:numId w:val="5"/>
        </w:numPr>
        <w:spacing w:before="60"/>
        <w:ind w:left="720"/>
        <w:jc w:val="both"/>
      </w:pPr>
      <w:r w:rsidRPr="006D6813">
        <w:t>Rural transportation</w:t>
      </w:r>
      <w:r w:rsidR="00B8140E">
        <w:t>;</w:t>
      </w:r>
    </w:p>
    <w:p w14:paraId="2A7F9FB5" w14:textId="77777777" w:rsidR="0017572E" w:rsidRPr="006D6813" w:rsidRDefault="0017572E" w:rsidP="005E19D1">
      <w:pPr>
        <w:numPr>
          <w:ilvl w:val="0"/>
          <w:numId w:val="5"/>
        </w:numPr>
        <w:spacing w:before="60"/>
        <w:ind w:left="720"/>
        <w:jc w:val="both"/>
      </w:pPr>
      <w:r w:rsidRPr="006D6813">
        <w:t>Services for the homeless</w:t>
      </w:r>
      <w:r w:rsidR="00B8140E">
        <w:t>;</w:t>
      </w:r>
    </w:p>
    <w:p w14:paraId="7D1EA0DE" w14:textId="77777777" w:rsidR="00AD593F" w:rsidRPr="006D6813" w:rsidRDefault="00AD593F" w:rsidP="005E19D1">
      <w:pPr>
        <w:numPr>
          <w:ilvl w:val="0"/>
          <w:numId w:val="5"/>
        </w:numPr>
        <w:spacing w:before="60"/>
        <w:ind w:left="720"/>
        <w:jc w:val="both"/>
      </w:pPr>
      <w:r w:rsidRPr="006D6813">
        <w:t>Services for the elderly</w:t>
      </w:r>
      <w:r w:rsidR="00B8140E">
        <w:t>;</w:t>
      </w:r>
    </w:p>
    <w:p w14:paraId="1B0E54BE" w14:textId="77777777" w:rsidR="0017572E" w:rsidRPr="006D6813" w:rsidRDefault="0017572E" w:rsidP="005E19D1">
      <w:pPr>
        <w:numPr>
          <w:ilvl w:val="0"/>
          <w:numId w:val="5"/>
        </w:numPr>
        <w:spacing w:before="60"/>
        <w:ind w:left="720"/>
        <w:jc w:val="both"/>
      </w:pPr>
      <w:r w:rsidRPr="006D6813">
        <w:t>Emergency assistance</w:t>
      </w:r>
      <w:r w:rsidR="00B8140E">
        <w:t>;</w:t>
      </w:r>
    </w:p>
    <w:p w14:paraId="0FD5CCAD" w14:textId="38E7EEE2" w:rsidR="0017572E" w:rsidRPr="006D6813" w:rsidRDefault="0017572E" w:rsidP="005E19D1">
      <w:pPr>
        <w:numPr>
          <w:ilvl w:val="0"/>
          <w:numId w:val="5"/>
        </w:numPr>
        <w:spacing w:before="60"/>
        <w:ind w:left="720"/>
        <w:jc w:val="both"/>
      </w:pPr>
      <w:r w:rsidRPr="006D6813">
        <w:t>Water and</w:t>
      </w:r>
      <w:r w:rsidR="009A1043">
        <w:t xml:space="preserve"> wastewater</w:t>
      </w:r>
      <w:r w:rsidRPr="006D6813">
        <w:t xml:space="preserve"> facility development</w:t>
      </w:r>
      <w:r w:rsidR="002D60D8">
        <w:t>; and</w:t>
      </w:r>
    </w:p>
    <w:p w14:paraId="1819BF8C" w14:textId="77777777" w:rsidR="0097072D" w:rsidRDefault="00AD593F" w:rsidP="005E19D1">
      <w:pPr>
        <w:numPr>
          <w:ilvl w:val="0"/>
          <w:numId w:val="5"/>
        </w:numPr>
        <w:spacing w:before="60"/>
        <w:ind w:left="720"/>
        <w:jc w:val="both"/>
      </w:pPr>
      <w:r w:rsidRPr="006D6813">
        <w:t>Home weatherization</w:t>
      </w:r>
      <w:r w:rsidR="002D60D8">
        <w:t>.</w:t>
      </w:r>
    </w:p>
    <w:sectPr w:rsidR="0097072D">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8FDC4" w14:textId="77777777" w:rsidR="00631CC7" w:rsidRDefault="00631CC7">
      <w:r>
        <w:separator/>
      </w:r>
    </w:p>
  </w:endnote>
  <w:endnote w:type="continuationSeparator" w:id="0">
    <w:p w14:paraId="03BC3421" w14:textId="77777777" w:rsidR="00631CC7" w:rsidRDefault="0063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87C6" w14:textId="77777777" w:rsidR="0064779A" w:rsidRDefault="006477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836730" w14:textId="77777777" w:rsidR="0064779A" w:rsidRDefault="006477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173C" w14:textId="1EE12871" w:rsidR="0064779A" w:rsidRDefault="006477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19D1">
      <w:rPr>
        <w:rStyle w:val="PageNumber"/>
        <w:noProof/>
      </w:rPr>
      <w:t>2</w:t>
    </w:r>
    <w:r>
      <w:rPr>
        <w:rStyle w:val="PageNumber"/>
      </w:rPr>
      <w:fldChar w:fldCharType="end"/>
    </w:r>
  </w:p>
  <w:p w14:paraId="3BC61710" w14:textId="77777777" w:rsidR="0064779A" w:rsidRDefault="006477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9F6A" w14:textId="77777777" w:rsidR="0064779A" w:rsidRDefault="0064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D14B5" w14:textId="77777777" w:rsidR="00631CC7" w:rsidRDefault="00631CC7">
      <w:r>
        <w:separator/>
      </w:r>
    </w:p>
  </w:footnote>
  <w:footnote w:type="continuationSeparator" w:id="0">
    <w:p w14:paraId="4826B294" w14:textId="77777777" w:rsidR="00631CC7" w:rsidRDefault="0063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89F7" w14:textId="77777777" w:rsidR="0064779A" w:rsidRDefault="00647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95F8" w14:textId="77777777" w:rsidR="0064779A" w:rsidRDefault="00647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8519" w14:textId="77777777" w:rsidR="0064779A" w:rsidRDefault="00647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544"/>
    <w:multiLevelType w:val="hybridMultilevel"/>
    <w:tmpl w:val="0BFAE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9D269B"/>
    <w:multiLevelType w:val="hybridMultilevel"/>
    <w:tmpl w:val="F8741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A15C41"/>
    <w:multiLevelType w:val="singleLevel"/>
    <w:tmpl w:val="63AC597E"/>
    <w:lvl w:ilvl="0">
      <w:start w:val="1"/>
      <w:numFmt w:val="bullet"/>
      <w:lvlText w:val=""/>
      <w:lvlJc w:val="left"/>
      <w:pPr>
        <w:tabs>
          <w:tab w:val="num" w:pos="360"/>
        </w:tabs>
        <w:ind w:left="360" w:hanging="360"/>
      </w:pPr>
      <w:rPr>
        <w:rFonts w:ascii="Wingdings" w:hAnsi="Wingdings" w:hint="default"/>
        <w:b/>
        <w:i w:val="0"/>
      </w:rPr>
    </w:lvl>
  </w:abstractNum>
  <w:abstractNum w:abstractNumId="3" w15:restartNumberingAfterBreak="0">
    <w:nsid w:val="73DF09C7"/>
    <w:multiLevelType w:val="hybridMultilevel"/>
    <w:tmpl w:val="B3882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64E71"/>
    <w:multiLevelType w:val="hybridMultilevel"/>
    <w:tmpl w:val="11263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2E"/>
    <w:rsid w:val="000143FC"/>
    <w:rsid w:val="0002339C"/>
    <w:rsid w:val="00041871"/>
    <w:rsid w:val="000578BF"/>
    <w:rsid w:val="000713CE"/>
    <w:rsid w:val="00076306"/>
    <w:rsid w:val="00087847"/>
    <w:rsid w:val="00092627"/>
    <w:rsid w:val="00094AAF"/>
    <w:rsid w:val="00096BAA"/>
    <w:rsid w:val="000B1330"/>
    <w:rsid w:val="000D1180"/>
    <w:rsid w:val="000D4212"/>
    <w:rsid w:val="000D641A"/>
    <w:rsid w:val="000F35BC"/>
    <w:rsid w:val="00100F3E"/>
    <w:rsid w:val="00116FC8"/>
    <w:rsid w:val="001215F8"/>
    <w:rsid w:val="0012523E"/>
    <w:rsid w:val="00130FA1"/>
    <w:rsid w:val="0014205D"/>
    <w:rsid w:val="001468BF"/>
    <w:rsid w:val="0016735C"/>
    <w:rsid w:val="0017572E"/>
    <w:rsid w:val="00181F6D"/>
    <w:rsid w:val="001970F2"/>
    <w:rsid w:val="001C2659"/>
    <w:rsid w:val="001D0119"/>
    <w:rsid w:val="001D0EAB"/>
    <w:rsid w:val="001E5D16"/>
    <w:rsid w:val="00203366"/>
    <w:rsid w:val="00207419"/>
    <w:rsid w:val="00215FEC"/>
    <w:rsid w:val="00250811"/>
    <w:rsid w:val="002609A8"/>
    <w:rsid w:val="00266618"/>
    <w:rsid w:val="00287017"/>
    <w:rsid w:val="00287758"/>
    <w:rsid w:val="002C206D"/>
    <w:rsid w:val="002D21C0"/>
    <w:rsid w:val="002D60D8"/>
    <w:rsid w:val="002D65BD"/>
    <w:rsid w:val="002E3558"/>
    <w:rsid w:val="00323A26"/>
    <w:rsid w:val="00331FDF"/>
    <w:rsid w:val="0033225C"/>
    <w:rsid w:val="00346293"/>
    <w:rsid w:val="00347D80"/>
    <w:rsid w:val="0036424A"/>
    <w:rsid w:val="00366ED6"/>
    <w:rsid w:val="00383C31"/>
    <w:rsid w:val="00396404"/>
    <w:rsid w:val="003A1F09"/>
    <w:rsid w:val="003A5227"/>
    <w:rsid w:val="003A6D1A"/>
    <w:rsid w:val="003B14FB"/>
    <w:rsid w:val="003B725A"/>
    <w:rsid w:val="003C0AC4"/>
    <w:rsid w:val="003C5169"/>
    <w:rsid w:val="003E0AB5"/>
    <w:rsid w:val="003F22B4"/>
    <w:rsid w:val="00402994"/>
    <w:rsid w:val="004040C2"/>
    <w:rsid w:val="004077F7"/>
    <w:rsid w:val="00423A69"/>
    <w:rsid w:val="00442442"/>
    <w:rsid w:val="00464F47"/>
    <w:rsid w:val="00473578"/>
    <w:rsid w:val="00474B58"/>
    <w:rsid w:val="004B0768"/>
    <w:rsid w:val="004B75CA"/>
    <w:rsid w:val="004D3256"/>
    <w:rsid w:val="004E6501"/>
    <w:rsid w:val="004F1F8E"/>
    <w:rsid w:val="0050444E"/>
    <w:rsid w:val="005123A4"/>
    <w:rsid w:val="005137BC"/>
    <w:rsid w:val="0052062F"/>
    <w:rsid w:val="0052208D"/>
    <w:rsid w:val="00522384"/>
    <w:rsid w:val="00530482"/>
    <w:rsid w:val="00532F34"/>
    <w:rsid w:val="00550A05"/>
    <w:rsid w:val="00561316"/>
    <w:rsid w:val="005C6F03"/>
    <w:rsid w:val="005E19D1"/>
    <w:rsid w:val="005E3139"/>
    <w:rsid w:val="005E519A"/>
    <w:rsid w:val="005F3A59"/>
    <w:rsid w:val="00600766"/>
    <w:rsid w:val="006213C2"/>
    <w:rsid w:val="00631CC7"/>
    <w:rsid w:val="0064779A"/>
    <w:rsid w:val="00660B6B"/>
    <w:rsid w:val="006710A8"/>
    <w:rsid w:val="006917B5"/>
    <w:rsid w:val="006D324F"/>
    <w:rsid w:val="006D37DE"/>
    <w:rsid w:val="006D4AF3"/>
    <w:rsid w:val="006D6813"/>
    <w:rsid w:val="006E050F"/>
    <w:rsid w:val="006E2807"/>
    <w:rsid w:val="006F1A5E"/>
    <w:rsid w:val="006F4ED8"/>
    <w:rsid w:val="006F78A2"/>
    <w:rsid w:val="00703009"/>
    <w:rsid w:val="00705D52"/>
    <w:rsid w:val="00706CC8"/>
    <w:rsid w:val="007118C1"/>
    <w:rsid w:val="00721A4B"/>
    <w:rsid w:val="007447DF"/>
    <w:rsid w:val="00753FF7"/>
    <w:rsid w:val="00765BC0"/>
    <w:rsid w:val="00774F90"/>
    <w:rsid w:val="007820D5"/>
    <w:rsid w:val="00786E7F"/>
    <w:rsid w:val="007964A6"/>
    <w:rsid w:val="007A2FF8"/>
    <w:rsid w:val="007A459B"/>
    <w:rsid w:val="007D6FAF"/>
    <w:rsid w:val="007E1C6F"/>
    <w:rsid w:val="007F18FE"/>
    <w:rsid w:val="00805096"/>
    <w:rsid w:val="00822AD7"/>
    <w:rsid w:val="00844DB8"/>
    <w:rsid w:val="00853A32"/>
    <w:rsid w:val="00857273"/>
    <w:rsid w:val="00857303"/>
    <w:rsid w:val="00863D9C"/>
    <w:rsid w:val="008837A0"/>
    <w:rsid w:val="008A6E54"/>
    <w:rsid w:val="008E70B2"/>
    <w:rsid w:val="008F2E00"/>
    <w:rsid w:val="008F3F2E"/>
    <w:rsid w:val="008F6D83"/>
    <w:rsid w:val="00912870"/>
    <w:rsid w:val="0091466A"/>
    <w:rsid w:val="009150D0"/>
    <w:rsid w:val="0092140E"/>
    <w:rsid w:val="009325FA"/>
    <w:rsid w:val="00946BAF"/>
    <w:rsid w:val="00964BA2"/>
    <w:rsid w:val="009658BA"/>
    <w:rsid w:val="0097072D"/>
    <w:rsid w:val="00980DE8"/>
    <w:rsid w:val="00991100"/>
    <w:rsid w:val="009A1043"/>
    <w:rsid w:val="009A6004"/>
    <w:rsid w:val="009C015D"/>
    <w:rsid w:val="009C4406"/>
    <w:rsid w:val="009D1AE6"/>
    <w:rsid w:val="009D6AE8"/>
    <w:rsid w:val="009E10AC"/>
    <w:rsid w:val="009E3980"/>
    <w:rsid w:val="009F7123"/>
    <w:rsid w:val="00A144F6"/>
    <w:rsid w:val="00A14878"/>
    <w:rsid w:val="00A22B46"/>
    <w:rsid w:val="00A348C8"/>
    <w:rsid w:val="00A437A9"/>
    <w:rsid w:val="00A44C39"/>
    <w:rsid w:val="00A61405"/>
    <w:rsid w:val="00A61A7A"/>
    <w:rsid w:val="00A620FC"/>
    <w:rsid w:val="00A81477"/>
    <w:rsid w:val="00A87E3B"/>
    <w:rsid w:val="00AA15F6"/>
    <w:rsid w:val="00AC6AA7"/>
    <w:rsid w:val="00AD593F"/>
    <w:rsid w:val="00B03E3E"/>
    <w:rsid w:val="00B16A12"/>
    <w:rsid w:val="00B24C07"/>
    <w:rsid w:val="00B44580"/>
    <w:rsid w:val="00B44B5C"/>
    <w:rsid w:val="00B61FC0"/>
    <w:rsid w:val="00B80850"/>
    <w:rsid w:val="00B8140E"/>
    <w:rsid w:val="00B87993"/>
    <w:rsid w:val="00BA0268"/>
    <w:rsid w:val="00BC4174"/>
    <w:rsid w:val="00BE62B8"/>
    <w:rsid w:val="00BF5898"/>
    <w:rsid w:val="00C448E8"/>
    <w:rsid w:val="00C514F6"/>
    <w:rsid w:val="00C54019"/>
    <w:rsid w:val="00C60377"/>
    <w:rsid w:val="00C9385B"/>
    <w:rsid w:val="00CB7F06"/>
    <w:rsid w:val="00CD34E8"/>
    <w:rsid w:val="00CD5BF1"/>
    <w:rsid w:val="00CE5B83"/>
    <w:rsid w:val="00D01A72"/>
    <w:rsid w:val="00D06214"/>
    <w:rsid w:val="00D078E8"/>
    <w:rsid w:val="00D33FE0"/>
    <w:rsid w:val="00D35DC6"/>
    <w:rsid w:val="00D37648"/>
    <w:rsid w:val="00D54917"/>
    <w:rsid w:val="00D56076"/>
    <w:rsid w:val="00D6099F"/>
    <w:rsid w:val="00D70D07"/>
    <w:rsid w:val="00D71216"/>
    <w:rsid w:val="00D72F25"/>
    <w:rsid w:val="00D83B41"/>
    <w:rsid w:val="00DA1CA0"/>
    <w:rsid w:val="00DA45CF"/>
    <w:rsid w:val="00DB028C"/>
    <w:rsid w:val="00DC57ED"/>
    <w:rsid w:val="00DD348B"/>
    <w:rsid w:val="00E11924"/>
    <w:rsid w:val="00E12E25"/>
    <w:rsid w:val="00E4172E"/>
    <w:rsid w:val="00E724DB"/>
    <w:rsid w:val="00E72DBD"/>
    <w:rsid w:val="00E91487"/>
    <w:rsid w:val="00E94004"/>
    <w:rsid w:val="00EB1A0F"/>
    <w:rsid w:val="00EC02C2"/>
    <w:rsid w:val="00EE1139"/>
    <w:rsid w:val="00EF0A26"/>
    <w:rsid w:val="00EF29B0"/>
    <w:rsid w:val="00EF7D57"/>
    <w:rsid w:val="00F10668"/>
    <w:rsid w:val="00F13704"/>
    <w:rsid w:val="00F20E8D"/>
    <w:rsid w:val="00F36424"/>
    <w:rsid w:val="00F447B7"/>
    <w:rsid w:val="00F60BB4"/>
    <w:rsid w:val="00F833EA"/>
    <w:rsid w:val="00F840BD"/>
    <w:rsid w:val="00F956CD"/>
    <w:rsid w:val="00F970CD"/>
    <w:rsid w:val="00FA3842"/>
    <w:rsid w:val="00FB6F9F"/>
    <w:rsid w:val="00FC6DF2"/>
    <w:rsid w:val="00FD0053"/>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B9EE7"/>
  <w15:docId w15:val="{E09E9270-A52B-408F-A272-AF034A06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572E"/>
    <w:pPr>
      <w:tabs>
        <w:tab w:val="center" w:pos="4320"/>
        <w:tab w:val="right" w:pos="8640"/>
      </w:tabs>
    </w:pPr>
    <w:rPr>
      <w:rFonts w:ascii="NewCenturySchlbk" w:hAnsi="NewCenturySchlbk"/>
      <w:szCs w:val="20"/>
    </w:rPr>
  </w:style>
  <w:style w:type="character" w:styleId="PageNumber">
    <w:name w:val="page number"/>
    <w:basedOn w:val="DefaultParagraphFont"/>
    <w:rsid w:val="0017572E"/>
  </w:style>
  <w:style w:type="paragraph" w:styleId="FootnoteText">
    <w:name w:val="footnote text"/>
    <w:basedOn w:val="Normal"/>
    <w:semiHidden/>
    <w:rsid w:val="0017572E"/>
    <w:rPr>
      <w:sz w:val="20"/>
      <w:szCs w:val="20"/>
    </w:rPr>
  </w:style>
  <w:style w:type="character" w:styleId="FootnoteReference">
    <w:name w:val="footnote reference"/>
    <w:basedOn w:val="DefaultParagraphFont"/>
    <w:semiHidden/>
    <w:rsid w:val="0017572E"/>
    <w:rPr>
      <w:vertAlign w:val="superscript"/>
    </w:rPr>
  </w:style>
  <w:style w:type="paragraph" w:styleId="Header">
    <w:name w:val="header"/>
    <w:basedOn w:val="Normal"/>
    <w:rsid w:val="0064779A"/>
    <w:pPr>
      <w:tabs>
        <w:tab w:val="center" w:pos="4320"/>
        <w:tab w:val="right" w:pos="8640"/>
      </w:tabs>
    </w:pPr>
  </w:style>
  <w:style w:type="paragraph" w:styleId="ListParagraph">
    <w:name w:val="List Paragraph"/>
    <w:basedOn w:val="Normal"/>
    <w:uiPriority w:val="34"/>
    <w:qFormat/>
    <w:rsid w:val="006D6813"/>
    <w:pPr>
      <w:ind w:left="720"/>
      <w:contextualSpacing/>
    </w:pPr>
  </w:style>
  <w:style w:type="character" w:styleId="CommentReference">
    <w:name w:val="annotation reference"/>
    <w:basedOn w:val="DefaultParagraphFont"/>
    <w:semiHidden/>
    <w:unhideWhenUsed/>
    <w:rsid w:val="00FB6F9F"/>
    <w:rPr>
      <w:sz w:val="16"/>
      <w:szCs w:val="16"/>
    </w:rPr>
  </w:style>
  <w:style w:type="paragraph" w:styleId="CommentText">
    <w:name w:val="annotation text"/>
    <w:basedOn w:val="Normal"/>
    <w:link w:val="CommentTextChar"/>
    <w:semiHidden/>
    <w:unhideWhenUsed/>
    <w:rsid w:val="00FB6F9F"/>
    <w:rPr>
      <w:sz w:val="20"/>
      <w:szCs w:val="20"/>
    </w:rPr>
  </w:style>
  <w:style w:type="character" w:customStyle="1" w:styleId="CommentTextChar">
    <w:name w:val="Comment Text Char"/>
    <w:basedOn w:val="DefaultParagraphFont"/>
    <w:link w:val="CommentText"/>
    <w:semiHidden/>
    <w:rsid w:val="00FB6F9F"/>
  </w:style>
  <w:style w:type="paragraph" w:styleId="CommentSubject">
    <w:name w:val="annotation subject"/>
    <w:basedOn w:val="CommentText"/>
    <w:next w:val="CommentText"/>
    <w:link w:val="CommentSubjectChar"/>
    <w:semiHidden/>
    <w:unhideWhenUsed/>
    <w:rsid w:val="00FB6F9F"/>
    <w:rPr>
      <w:b/>
      <w:bCs/>
    </w:rPr>
  </w:style>
  <w:style w:type="character" w:customStyle="1" w:styleId="CommentSubjectChar">
    <w:name w:val="Comment Subject Char"/>
    <w:basedOn w:val="CommentTextChar"/>
    <w:link w:val="CommentSubject"/>
    <w:semiHidden/>
    <w:rsid w:val="00FB6F9F"/>
    <w:rPr>
      <w:b/>
      <w:bCs/>
    </w:rPr>
  </w:style>
  <w:style w:type="paragraph" w:styleId="Revision">
    <w:name w:val="Revision"/>
    <w:hidden/>
    <w:uiPriority w:val="99"/>
    <w:semiHidden/>
    <w:rsid w:val="00FB6F9F"/>
    <w:rPr>
      <w:sz w:val="24"/>
      <w:szCs w:val="24"/>
    </w:rPr>
  </w:style>
  <w:style w:type="paragraph" w:styleId="BalloonText">
    <w:name w:val="Balloon Text"/>
    <w:basedOn w:val="Normal"/>
    <w:link w:val="BalloonTextChar"/>
    <w:semiHidden/>
    <w:unhideWhenUsed/>
    <w:rsid w:val="00FB6F9F"/>
    <w:rPr>
      <w:rFonts w:ascii="Segoe UI" w:hAnsi="Segoe UI" w:cs="Segoe UI"/>
      <w:sz w:val="18"/>
      <w:szCs w:val="18"/>
    </w:rPr>
  </w:style>
  <w:style w:type="character" w:customStyle="1" w:styleId="BalloonTextChar">
    <w:name w:val="Balloon Text Char"/>
    <w:basedOn w:val="DefaultParagraphFont"/>
    <w:link w:val="BalloonText"/>
    <w:semiHidden/>
    <w:rsid w:val="00FB6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STANDING JOINT SUBCOMMITTEE ON BLOCK GRANTS</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JOINT SUBCOMMITTEE ON BLOCK GRANTS</dc:title>
  <dc:creator>Jessica Eades</dc:creator>
  <cp:lastModifiedBy>Sarah Stanton</cp:lastModifiedBy>
  <cp:revision>2</cp:revision>
  <cp:lastPrinted>2010-07-19T13:52:00Z</cp:lastPrinted>
  <dcterms:created xsi:type="dcterms:W3CDTF">2018-07-12T16:26:00Z</dcterms:created>
  <dcterms:modified xsi:type="dcterms:W3CDTF">2018-07-12T16:26:00Z</dcterms:modified>
</cp:coreProperties>
</file>